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style2.xml" ContentType="application/vnd.ms-office.chartstyle+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hart1.xml" ContentType="application/vnd.openxmlformats-officedocument.drawingml.chart+xml"/>
  <Override PartName="/word/charts/style1.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2B749" w14:textId="40401C27" w:rsidR="00ED3604" w:rsidRPr="005576E1" w:rsidRDefault="006F4AC2" w:rsidP="00B77519">
      <w:pPr>
        <w:tabs>
          <w:tab w:val="left" w:pos="810"/>
        </w:tabs>
        <w:jc w:val="center"/>
        <w:rPr>
          <w:rFonts w:ascii="Times New Roman" w:hAnsi="Times New Roman" w:cs="Times New Roman"/>
          <w:sz w:val="48"/>
          <w:szCs w:val="72"/>
        </w:rPr>
      </w:pPr>
      <w:bookmarkStart w:id="0" w:name="_GoBack"/>
      <w:bookmarkEnd w:id="0"/>
      <w:r w:rsidRPr="005576E1">
        <w:rPr>
          <w:rFonts w:ascii="Times New Roman" w:hAnsi="Times New Roman" w:cs="Times New Roman"/>
          <w:sz w:val="48"/>
          <w:szCs w:val="72"/>
        </w:rPr>
        <w:t>Do</w:t>
      </w:r>
      <w:r w:rsidR="00ED3604" w:rsidRPr="005576E1">
        <w:rPr>
          <w:rFonts w:ascii="Times New Roman" w:hAnsi="Times New Roman" w:cs="Times New Roman"/>
          <w:sz w:val="48"/>
          <w:szCs w:val="72"/>
        </w:rPr>
        <w:t xml:space="preserve">es Tax Increment Financing </w:t>
      </w:r>
      <w:r w:rsidRPr="005576E1">
        <w:rPr>
          <w:rFonts w:ascii="Times New Roman" w:hAnsi="Times New Roman" w:cs="Times New Roman"/>
          <w:sz w:val="48"/>
          <w:szCs w:val="72"/>
        </w:rPr>
        <w:t xml:space="preserve">Pass the </w:t>
      </w:r>
      <w:r w:rsidR="00ED3604" w:rsidRPr="005576E1">
        <w:rPr>
          <w:rFonts w:ascii="Times New Roman" w:hAnsi="Times New Roman" w:cs="Times New Roman"/>
          <w:sz w:val="48"/>
          <w:szCs w:val="72"/>
        </w:rPr>
        <w:t>“</w:t>
      </w:r>
      <w:r w:rsidRPr="005576E1">
        <w:rPr>
          <w:rFonts w:ascii="Times New Roman" w:hAnsi="Times New Roman" w:cs="Times New Roman"/>
          <w:sz w:val="48"/>
          <w:szCs w:val="72"/>
        </w:rPr>
        <w:t>But-for test</w:t>
      </w:r>
      <w:r w:rsidR="00ED3604" w:rsidRPr="005576E1">
        <w:rPr>
          <w:rFonts w:ascii="Times New Roman" w:hAnsi="Times New Roman" w:cs="Times New Roman"/>
          <w:sz w:val="48"/>
          <w:szCs w:val="72"/>
        </w:rPr>
        <w:t>” in Missouri</w:t>
      </w:r>
      <w:r w:rsidRPr="005576E1">
        <w:rPr>
          <w:rFonts w:ascii="Times New Roman" w:hAnsi="Times New Roman" w:cs="Times New Roman"/>
          <w:sz w:val="48"/>
          <w:szCs w:val="72"/>
        </w:rPr>
        <w:t xml:space="preserve">? </w:t>
      </w:r>
    </w:p>
    <w:p w14:paraId="172AF384" w14:textId="7737ED73" w:rsidR="005C4FBD" w:rsidRPr="005576E1" w:rsidRDefault="00DC41D2" w:rsidP="00B77519">
      <w:pPr>
        <w:jc w:val="center"/>
        <w:rPr>
          <w:rFonts w:ascii="Times New Roman" w:hAnsi="Times New Roman" w:cs="Times New Roman"/>
          <w:spacing w:val="1"/>
          <w:u w:val="single"/>
        </w:rPr>
      </w:pPr>
      <w:r w:rsidRPr="005576E1">
        <w:rPr>
          <w:rFonts w:ascii="Times New Roman" w:hAnsi="Times New Roman" w:cs="Times New Roman"/>
          <w:sz w:val="44"/>
          <w:szCs w:val="72"/>
        </w:rPr>
        <w:br/>
      </w:r>
    </w:p>
    <w:p w14:paraId="022430B1" w14:textId="2BA600DB" w:rsidR="00B33EDE" w:rsidRPr="00C13FDD" w:rsidRDefault="00C13FDD" w:rsidP="00C13FDD">
      <w:pPr>
        <w:spacing w:line="480" w:lineRule="auto"/>
        <w:ind w:left="0"/>
        <w:jc w:val="center"/>
        <w:rPr>
          <w:rFonts w:ascii="Times New Roman" w:hAnsi="Times New Roman" w:cs="Times New Roman"/>
          <w:spacing w:val="1"/>
        </w:rPr>
      </w:pPr>
      <w:r>
        <w:rPr>
          <w:rFonts w:ascii="Times New Roman" w:hAnsi="Times New Roman" w:cs="Times New Roman"/>
          <w:spacing w:val="1"/>
        </w:rPr>
        <w:t>Ahmed Rachid El-Khattabi</w:t>
      </w:r>
      <w:r>
        <w:rPr>
          <w:rStyle w:val="FootnoteReference"/>
          <w:rFonts w:ascii="Times New Roman" w:hAnsi="Times New Roman" w:cs="Times New Roman"/>
          <w:spacing w:val="1"/>
        </w:rPr>
        <w:footnoteReference w:id="1"/>
      </w:r>
      <w:r>
        <w:rPr>
          <w:rFonts w:ascii="Times New Roman" w:hAnsi="Times New Roman" w:cs="Times New Roman"/>
          <w:spacing w:val="1"/>
        </w:rPr>
        <w:t>, T. William Lester</w:t>
      </w:r>
      <w:r>
        <w:rPr>
          <w:rStyle w:val="FootnoteReference"/>
          <w:rFonts w:ascii="Times New Roman" w:hAnsi="Times New Roman" w:cs="Times New Roman"/>
          <w:spacing w:val="1"/>
        </w:rPr>
        <w:footnoteReference w:id="2"/>
      </w:r>
    </w:p>
    <w:p w14:paraId="61D0A158" w14:textId="77777777" w:rsidR="006E1BC2" w:rsidRPr="005576E1" w:rsidRDefault="006E1BC2" w:rsidP="00B77519">
      <w:pPr>
        <w:pStyle w:val="ListParagraph"/>
        <w:spacing w:line="480" w:lineRule="auto"/>
        <w:ind w:left="2520"/>
        <w:jc w:val="right"/>
        <w:rPr>
          <w:rFonts w:ascii="Times New Roman" w:hAnsi="Times New Roman" w:cs="Times New Roman"/>
          <w:spacing w:val="1"/>
        </w:rPr>
      </w:pPr>
    </w:p>
    <w:p w14:paraId="416CB936" w14:textId="77777777" w:rsidR="007F5AC7" w:rsidRPr="005576E1" w:rsidRDefault="007F5AC7" w:rsidP="00B77519">
      <w:pPr>
        <w:spacing w:line="480" w:lineRule="auto"/>
        <w:ind w:left="0"/>
        <w:rPr>
          <w:rFonts w:ascii="Times New Roman" w:hAnsi="Times New Roman" w:cs="Times New Roman"/>
          <w:spacing w:val="1"/>
        </w:rPr>
      </w:pPr>
    </w:p>
    <w:p w14:paraId="2A581152" w14:textId="0F9D3030" w:rsidR="00ED3604" w:rsidRPr="005576E1" w:rsidRDefault="00ED3604" w:rsidP="00B77519">
      <w:pPr>
        <w:spacing w:line="480" w:lineRule="auto"/>
        <w:ind w:left="0"/>
        <w:rPr>
          <w:rFonts w:ascii="Times New Roman" w:hAnsi="Times New Roman" w:cs="Times New Roman"/>
          <w:szCs w:val="24"/>
        </w:rPr>
      </w:pPr>
    </w:p>
    <w:p w14:paraId="51B9EFED" w14:textId="748EC904" w:rsidR="00C93A77" w:rsidRPr="005576E1" w:rsidRDefault="00C93A77" w:rsidP="00B77519">
      <w:pPr>
        <w:spacing w:line="480" w:lineRule="auto"/>
        <w:ind w:left="0"/>
        <w:rPr>
          <w:rFonts w:ascii="Times New Roman" w:hAnsi="Times New Roman" w:cs="Times New Roman"/>
          <w:spacing w:val="1"/>
        </w:rPr>
      </w:pPr>
    </w:p>
    <w:p w14:paraId="21DF75C5" w14:textId="355A11E2" w:rsidR="00502AF1" w:rsidRPr="005576E1" w:rsidRDefault="00E66788" w:rsidP="00B77519">
      <w:pPr>
        <w:pStyle w:val="Heading1"/>
        <w:spacing w:line="240" w:lineRule="auto"/>
        <w:jc w:val="center"/>
        <w:rPr>
          <w:rFonts w:ascii="Times New Roman" w:hAnsi="Times New Roman" w:cs="Times New Roman"/>
          <w:color w:val="auto"/>
        </w:rPr>
      </w:pPr>
      <w:r w:rsidRPr="005576E1">
        <w:rPr>
          <w:rFonts w:ascii="Times New Roman" w:hAnsi="Times New Roman" w:cs="Times New Roman"/>
          <w:color w:val="auto"/>
        </w:rPr>
        <w:t>Abstract</w:t>
      </w:r>
    </w:p>
    <w:p w14:paraId="080689FA" w14:textId="3343CAC2" w:rsidR="00502AF1" w:rsidRPr="005576E1" w:rsidRDefault="00502AF1" w:rsidP="00B77519">
      <w:pPr>
        <w:pStyle w:val="Heading1"/>
        <w:spacing w:line="240" w:lineRule="auto"/>
        <w:rPr>
          <w:rFonts w:ascii="Times New Roman" w:hAnsi="Times New Roman" w:cs="Times New Roman"/>
          <w:color w:val="auto"/>
          <w:sz w:val="22"/>
          <w:szCs w:val="22"/>
        </w:rPr>
      </w:pPr>
      <w:r w:rsidRPr="005576E1">
        <w:rPr>
          <w:rFonts w:ascii="Times New Roman" w:hAnsi="Times New Roman" w:cs="Times New Roman"/>
          <w:color w:val="auto"/>
          <w:sz w:val="22"/>
          <w:szCs w:val="22"/>
        </w:rPr>
        <w:t xml:space="preserve">The use of tax increment financing remains a popular, yet highly controversial, tool among policy makers in their efforts to promote economic development. </w:t>
      </w:r>
      <w:r w:rsidR="00E66788" w:rsidRPr="005576E1">
        <w:rPr>
          <w:rFonts w:ascii="Times New Roman" w:hAnsi="Times New Roman" w:cs="Times New Roman"/>
          <w:color w:val="auto"/>
          <w:sz w:val="22"/>
          <w:szCs w:val="22"/>
        </w:rPr>
        <w:t xml:space="preserve">This paper conducts a comprehensive assessment of the effectiveness of Missouri’s TIF program, specifically in in Kansas City and </w:t>
      </w:r>
      <w:r w:rsidR="005576E1" w:rsidRPr="005576E1">
        <w:rPr>
          <w:rFonts w:ascii="Times New Roman" w:hAnsi="Times New Roman" w:cs="Times New Roman"/>
          <w:color w:val="auto"/>
          <w:sz w:val="22"/>
          <w:szCs w:val="22"/>
        </w:rPr>
        <w:t>Saint Louis</w:t>
      </w:r>
      <w:r w:rsidR="00E66788" w:rsidRPr="005576E1">
        <w:rPr>
          <w:rFonts w:ascii="Times New Roman" w:hAnsi="Times New Roman" w:cs="Times New Roman"/>
          <w:color w:val="auto"/>
          <w:sz w:val="22"/>
          <w:szCs w:val="22"/>
        </w:rPr>
        <w:t>, in creating economic opportunities. We build a time-series dataset</w:t>
      </w:r>
      <w:r w:rsidR="00C93A77" w:rsidRPr="005576E1">
        <w:rPr>
          <w:rFonts w:ascii="Times New Roman" w:hAnsi="Times New Roman" w:cs="Times New Roman"/>
          <w:color w:val="auto"/>
          <w:sz w:val="22"/>
          <w:szCs w:val="22"/>
        </w:rPr>
        <w:t xml:space="preserve"> starting 1990 through 2012</w:t>
      </w:r>
      <w:r w:rsidR="00E66788" w:rsidRPr="005576E1">
        <w:rPr>
          <w:rFonts w:ascii="Times New Roman" w:hAnsi="Times New Roman" w:cs="Times New Roman"/>
          <w:color w:val="auto"/>
          <w:sz w:val="22"/>
          <w:szCs w:val="22"/>
        </w:rPr>
        <w:t xml:space="preserve"> of detailed employment levels, establishment counts and sales at the census block group level to run a set of difference-in-differences (</w:t>
      </w:r>
      <w:proofErr w:type="spellStart"/>
      <w:r w:rsidR="00E66788" w:rsidRPr="005576E1">
        <w:rPr>
          <w:rFonts w:ascii="Times New Roman" w:hAnsi="Times New Roman" w:cs="Times New Roman"/>
          <w:color w:val="auto"/>
          <w:sz w:val="22"/>
          <w:szCs w:val="22"/>
        </w:rPr>
        <w:t>DiD</w:t>
      </w:r>
      <w:proofErr w:type="spellEnd"/>
      <w:r w:rsidR="00E66788" w:rsidRPr="005576E1">
        <w:rPr>
          <w:rFonts w:ascii="Times New Roman" w:hAnsi="Times New Roman" w:cs="Times New Roman"/>
          <w:color w:val="auto"/>
          <w:sz w:val="22"/>
          <w:szCs w:val="22"/>
        </w:rPr>
        <w:t>) estimates for the impact of TIF at the local level.   Although we analyze the impact of TIF on a wide set of indicators and across various industry sectors, we find no conclusive evidence that the TIF program in either city has a causal impact on key economic development indicators.</w:t>
      </w:r>
      <w:r w:rsidR="00E66788" w:rsidRPr="005576E1">
        <w:rPr>
          <w:rFonts w:ascii="Times New Roman" w:hAnsi="Times New Roman" w:cs="Times New Roman"/>
          <w:color w:val="auto"/>
        </w:rPr>
        <w:t xml:space="preserve">  </w:t>
      </w:r>
    </w:p>
    <w:p w14:paraId="4D1E0516" w14:textId="47941C5E" w:rsidR="00502AF1" w:rsidRPr="005576E1" w:rsidRDefault="00502AF1" w:rsidP="00B77519">
      <w:pPr>
        <w:spacing w:line="480" w:lineRule="auto"/>
        <w:ind w:left="0"/>
        <w:rPr>
          <w:rFonts w:ascii="Times New Roman" w:hAnsi="Times New Roman" w:cs="Times New Roman"/>
        </w:rPr>
      </w:pPr>
    </w:p>
    <w:p w14:paraId="352D12F1" w14:textId="77777777" w:rsidR="00B77519" w:rsidRPr="005576E1" w:rsidRDefault="00B77519" w:rsidP="00B77519">
      <w:pPr>
        <w:spacing w:line="480" w:lineRule="auto"/>
        <w:rPr>
          <w:rFonts w:ascii="Times New Roman" w:eastAsiaTheme="majorEastAsia" w:hAnsi="Times New Roman" w:cs="Times New Roman"/>
          <w:sz w:val="32"/>
          <w:szCs w:val="32"/>
        </w:rPr>
      </w:pPr>
      <w:r w:rsidRPr="005576E1">
        <w:rPr>
          <w:rFonts w:ascii="Times New Roman" w:hAnsi="Times New Roman" w:cs="Times New Roman"/>
        </w:rPr>
        <w:br w:type="page"/>
      </w:r>
    </w:p>
    <w:p w14:paraId="198E4E5F" w14:textId="34F4FA24" w:rsidR="0093728C" w:rsidRPr="005576E1" w:rsidRDefault="00ED3604" w:rsidP="00B77519">
      <w:pPr>
        <w:pStyle w:val="Heading1"/>
        <w:spacing w:line="480" w:lineRule="auto"/>
        <w:rPr>
          <w:rFonts w:ascii="Times New Roman" w:hAnsi="Times New Roman" w:cs="Times New Roman"/>
          <w:color w:val="auto"/>
        </w:rPr>
      </w:pPr>
      <w:r w:rsidRPr="005576E1">
        <w:rPr>
          <w:rFonts w:ascii="Times New Roman" w:hAnsi="Times New Roman" w:cs="Times New Roman"/>
          <w:color w:val="auto"/>
        </w:rPr>
        <w:lastRenderedPageBreak/>
        <w:t xml:space="preserve">1. </w:t>
      </w:r>
      <w:r w:rsidR="0093728C" w:rsidRPr="005576E1">
        <w:rPr>
          <w:rFonts w:ascii="Times New Roman" w:hAnsi="Times New Roman" w:cs="Times New Roman"/>
          <w:b/>
          <w:bCs/>
          <w:color w:val="auto"/>
        </w:rPr>
        <w:t>Introduction</w:t>
      </w:r>
    </w:p>
    <w:p w14:paraId="2C628B2C" w14:textId="05F9835A" w:rsidR="00BD2106" w:rsidRPr="001559DB" w:rsidRDefault="00B77519" w:rsidP="00B77519">
      <w:pPr>
        <w:spacing w:line="480" w:lineRule="auto"/>
        <w:ind w:left="0" w:firstLine="720"/>
        <w:rPr>
          <w:rFonts w:ascii="Times New Roman" w:hAnsi="Times New Roman" w:cs="Times New Roman"/>
        </w:rPr>
      </w:pPr>
      <w:r w:rsidRPr="001559DB">
        <w:rPr>
          <w:rFonts w:ascii="Times New Roman" w:hAnsi="Times New Roman" w:cs="Times New Roman"/>
        </w:rPr>
        <w:t>Over the past thirty years, local e</w:t>
      </w:r>
      <w:r w:rsidR="008B78E9" w:rsidRPr="001559DB">
        <w:rPr>
          <w:rFonts w:ascii="Times New Roman" w:hAnsi="Times New Roman" w:cs="Times New Roman"/>
        </w:rPr>
        <w:t xml:space="preserve">conomic development planners have developed a broad set of tools </w:t>
      </w:r>
      <w:r w:rsidRPr="001559DB">
        <w:rPr>
          <w:rFonts w:ascii="Times New Roman" w:hAnsi="Times New Roman" w:cs="Times New Roman"/>
        </w:rPr>
        <w:t>aimed at attracting new business investment or promoting redevelopment in underserved neighborhoods. These tools such as</w:t>
      </w:r>
      <w:r w:rsidR="008B78E9" w:rsidRPr="001559DB">
        <w:rPr>
          <w:rFonts w:ascii="Times New Roman" w:hAnsi="Times New Roman" w:cs="Times New Roman"/>
        </w:rPr>
        <w:t xml:space="preserve"> tax incentives, infrastructure subsidies, empowerment zones and targeted grant</w:t>
      </w:r>
      <w:r w:rsidR="00680F42" w:rsidRPr="001559DB">
        <w:rPr>
          <w:rFonts w:ascii="Times New Roman" w:hAnsi="Times New Roman" w:cs="Times New Roman"/>
        </w:rPr>
        <w:t xml:space="preserve"> and job training subsidies</w:t>
      </w:r>
      <w:r w:rsidRPr="001559DB">
        <w:rPr>
          <w:rFonts w:ascii="Times New Roman" w:hAnsi="Times New Roman" w:cs="Times New Roman"/>
        </w:rPr>
        <w:t xml:space="preserve"> are widely used throughout the United States and increasingly in the United Kingdom and elsewhere</w:t>
      </w:r>
      <w:r w:rsidR="00680F42" w:rsidRPr="001559DB">
        <w:rPr>
          <w:rFonts w:ascii="Times New Roman" w:hAnsi="Times New Roman" w:cs="Times New Roman"/>
        </w:rPr>
        <w:t xml:space="preserve"> </w:t>
      </w:r>
      <w:r w:rsidR="005D3426" w:rsidRPr="001559DB">
        <w:rPr>
          <w:rFonts w:ascii="Times New Roman" w:hAnsi="Times New Roman" w:cs="Times New Roman"/>
        </w:rPr>
        <w:fldChar w:fldCharType="begin"/>
      </w:r>
      <w:r w:rsidR="005D3426" w:rsidRPr="001559DB">
        <w:rPr>
          <w:rFonts w:ascii="Times New Roman" w:hAnsi="Times New Roman" w:cs="Times New Roman"/>
        </w:rPr>
        <w:instrText xml:space="preserve"> ADDIN ZOTERO_ITEM CSL_CITATION {"citationID":"535i54Ca","properties":{"formattedCitation":"(Fitzgerald and Green 2002)","plainCitation":"(Fitzgerald and Green 2002)"},"citationItems":[{"id":163,"uris":["http://zotero.org/users/local/sNCqxxLT/items/SIT8I7UM"],"uri":["http://zotero.org/users/local/sNCqxxLT/items/SIT8I7UM"],"itemData":{"id":163,"type":"book","title":"Economic revitalization: Cases and strategies for city and suburb","publisher":"Sage","author":[{"family":"Fitzgerald","given":"Joan"},{"family":"Green","given":"Nancey"}],"issued":{"date-parts":[["2002"]]}}}],"schema":"https://github.com/citation-style-language/schema/raw/master/csl-citation.json"} </w:instrText>
      </w:r>
      <w:r w:rsidR="005D3426" w:rsidRPr="001559DB">
        <w:rPr>
          <w:rFonts w:ascii="Times New Roman" w:hAnsi="Times New Roman" w:cs="Times New Roman"/>
        </w:rPr>
        <w:fldChar w:fldCharType="separate"/>
      </w:r>
      <w:r w:rsidR="005D3426" w:rsidRPr="001559DB">
        <w:rPr>
          <w:rFonts w:ascii="Times New Roman" w:hAnsi="Times New Roman" w:cs="Times New Roman"/>
        </w:rPr>
        <w:t>(</w:t>
      </w:r>
      <w:r w:rsidRPr="001559DB">
        <w:rPr>
          <w:rFonts w:ascii="Times New Roman" w:hAnsi="Times New Roman" w:cs="Times New Roman"/>
        </w:rPr>
        <w:t xml:space="preserve">see </w:t>
      </w:r>
      <w:r w:rsidR="005D3426" w:rsidRPr="001559DB">
        <w:rPr>
          <w:rFonts w:ascii="Times New Roman" w:hAnsi="Times New Roman" w:cs="Times New Roman"/>
        </w:rPr>
        <w:t>Fitzgerald and Green</w:t>
      </w:r>
      <w:r w:rsidRPr="001559DB">
        <w:rPr>
          <w:rFonts w:ascii="Times New Roman" w:hAnsi="Times New Roman" w:cs="Times New Roman"/>
        </w:rPr>
        <w:t>-Leigh</w:t>
      </w:r>
      <w:r w:rsidR="005D3426" w:rsidRPr="001559DB">
        <w:rPr>
          <w:rFonts w:ascii="Times New Roman" w:hAnsi="Times New Roman" w:cs="Times New Roman"/>
        </w:rPr>
        <w:t xml:space="preserve"> 2002</w:t>
      </w:r>
      <w:r w:rsidR="00E0634F">
        <w:rPr>
          <w:rFonts w:ascii="Times New Roman" w:hAnsi="Times New Roman" w:cs="Times New Roman"/>
        </w:rPr>
        <w:t>;</w:t>
      </w:r>
      <w:r w:rsidR="00E0634F" w:rsidRPr="00E0634F">
        <w:rPr>
          <w:rFonts w:ascii="Times New Roman" w:hAnsi="Times New Roman" w:cs="Times New Roman"/>
        </w:rPr>
        <w:t xml:space="preserve"> </w:t>
      </w:r>
      <w:r w:rsidR="00E0634F">
        <w:rPr>
          <w:rFonts w:ascii="Times New Roman" w:hAnsi="Times New Roman" w:cs="Times New Roman"/>
        </w:rPr>
        <w:t>Green Leigh and Blakely, 2017</w:t>
      </w:r>
      <w:r w:rsidR="005D3426" w:rsidRPr="001559DB">
        <w:rPr>
          <w:rFonts w:ascii="Times New Roman" w:hAnsi="Times New Roman" w:cs="Times New Roman"/>
        </w:rPr>
        <w:t>)</w:t>
      </w:r>
      <w:r w:rsidR="005D3426" w:rsidRPr="001559DB">
        <w:rPr>
          <w:rFonts w:ascii="Times New Roman" w:hAnsi="Times New Roman" w:cs="Times New Roman"/>
        </w:rPr>
        <w:fldChar w:fldCharType="end"/>
      </w:r>
      <w:r w:rsidRPr="001559DB">
        <w:rPr>
          <w:rFonts w:ascii="Times New Roman" w:hAnsi="Times New Roman" w:cs="Times New Roman"/>
        </w:rPr>
        <w:t xml:space="preserve"> and there is evidence that incentive use is on the rise after the great recession (Zheng and Warner, 2011)</w:t>
      </w:r>
      <w:r w:rsidR="008B78E9" w:rsidRPr="001559DB">
        <w:rPr>
          <w:rFonts w:ascii="Times New Roman" w:hAnsi="Times New Roman" w:cs="Times New Roman"/>
        </w:rPr>
        <w:t xml:space="preserve">.  What unites these various policies is the fact that public tax dollars are shifted to private entities (typically businesses or </w:t>
      </w:r>
      <w:r w:rsidR="00C500F7" w:rsidRPr="001559DB">
        <w:rPr>
          <w:rFonts w:ascii="Times New Roman" w:hAnsi="Times New Roman" w:cs="Times New Roman"/>
        </w:rPr>
        <w:t>real estate developers</w:t>
      </w:r>
      <w:r w:rsidR="008B78E9" w:rsidRPr="001559DB">
        <w:rPr>
          <w:rFonts w:ascii="Times New Roman" w:hAnsi="Times New Roman" w:cs="Times New Roman"/>
        </w:rPr>
        <w:t xml:space="preserve">). </w:t>
      </w:r>
      <w:r w:rsidR="00C500F7" w:rsidRPr="001559DB">
        <w:rPr>
          <w:rFonts w:ascii="Times New Roman" w:hAnsi="Times New Roman" w:cs="Times New Roman"/>
        </w:rPr>
        <w:t xml:space="preserve">  With a sixty-year history of usage and enabling legislation passed in all 50 states, T</w:t>
      </w:r>
      <w:r w:rsidR="008B78E9" w:rsidRPr="001559DB">
        <w:rPr>
          <w:rFonts w:ascii="Times New Roman" w:hAnsi="Times New Roman" w:cs="Times New Roman"/>
        </w:rPr>
        <w:t xml:space="preserve">ax </w:t>
      </w:r>
      <w:r w:rsidR="00C500F7" w:rsidRPr="001559DB">
        <w:rPr>
          <w:rFonts w:ascii="Times New Roman" w:hAnsi="Times New Roman" w:cs="Times New Roman"/>
        </w:rPr>
        <w:t>I</w:t>
      </w:r>
      <w:r w:rsidR="008B78E9" w:rsidRPr="001559DB">
        <w:rPr>
          <w:rFonts w:ascii="Times New Roman" w:hAnsi="Times New Roman" w:cs="Times New Roman"/>
        </w:rPr>
        <w:t xml:space="preserve">ncrement </w:t>
      </w:r>
      <w:r w:rsidR="00C500F7" w:rsidRPr="001559DB">
        <w:rPr>
          <w:rFonts w:ascii="Times New Roman" w:hAnsi="Times New Roman" w:cs="Times New Roman"/>
        </w:rPr>
        <w:t>F</w:t>
      </w:r>
      <w:r w:rsidR="008B78E9" w:rsidRPr="001559DB">
        <w:rPr>
          <w:rFonts w:ascii="Times New Roman" w:hAnsi="Times New Roman" w:cs="Times New Roman"/>
        </w:rPr>
        <w:t xml:space="preserve">inancing (TIF) </w:t>
      </w:r>
      <w:r w:rsidR="00C500F7" w:rsidRPr="001559DB">
        <w:rPr>
          <w:rFonts w:ascii="Times New Roman" w:hAnsi="Times New Roman" w:cs="Times New Roman"/>
        </w:rPr>
        <w:t xml:space="preserve">has become one </w:t>
      </w:r>
      <w:r w:rsidR="008B78E9" w:rsidRPr="001559DB">
        <w:rPr>
          <w:rFonts w:ascii="Times New Roman" w:hAnsi="Times New Roman" w:cs="Times New Roman"/>
        </w:rPr>
        <w:t>of most common form</w:t>
      </w:r>
      <w:r w:rsidR="00C500F7" w:rsidRPr="001559DB">
        <w:rPr>
          <w:rFonts w:ascii="Times New Roman" w:hAnsi="Times New Roman" w:cs="Times New Roman"/>
        </w:rPr>
        <w:t>s</w:t>
      </w:r>
      <w:r w:rsidR="008B78E9" w:rsidRPr="001559DB">
        <w:rPr>
          <w:rFonts w:ascii="Times New Roman" w:hAnsi="Times New Roman" w:cs="Times New Roman"/>
        </w:rPr>
        <w:t xml:space="preserve"> of local public </w:t>
      </w:r>
      <w:r w:rsidR="00C500F7" w:rsidRPr="001559DB">
        <w:rPr>
          <w:rFonts w:ascii="Times New Roman" w:hAnsi="Times New Roman" w:cs="Times New Roman"/>
        </w:rPr>
        <w:t>incentive tools</w:t>
      </w:r>
      <w:r w:rsidR="008B78E9" w:rsidRPr="001559DB">
        <w:rPr>
          <w:rFonts w:ascii="Times New Roman" w:hAnsi="Times New Roman" w:cs="Times New Roman"/>
        </w:rPr>
        <w:t>.</w:t>
      </w:r>
      <w:r w:rsidRPr="001559DB">
        <w:rPr>
          <w:rFonts w:ascii="Times New Roman" w:hAnsi="Times New Roman" w:cs="Times New Roman"/>
        </w:rPr>
        <w:t xml:space="preserve">  </w:t>
      </w:r>
      <w:r w:rsidR="00C500F7" w:rsidRPr="001559DB">
        <w:rPr>
          <w:rFonts w:ascii="Times New Roman" w:hAnsi="Times New Roman" w:cs="Times New Roman"/>
        </w:rPr>
        <w:t xml:space="preserve">Although the details differ from place to place, the basic structure of TIF involves the freezing of assessed property values in a designated zone or parcel and dedicating any future value growth—typically generated by some kind of planned redevelopment project—to offset the costs of the initial private investment.   Despite its popularity, TIF remains highly controversial </w:t>
      </w:r>
      <w:r w:rsidR="003B7A9D" w:rsidRPr="001559DB">
        <w:rPr>
          <w:rFonts w:ascii="Times New Roman" w:hAnsi="Times New Roman" w:cs="Times New Roman"/>
        </w:rPr>
        <w:t>because</w:t>
      </w:r>
      <w:r w:rsidR="00C500F7" w:rsidRPr="001559DB">
        <w:rPr>
          <w:rFonts w:ascii="Times New Roman" w:hAnsi="Times New Roman" w:cs="Times New Roman"/>
        </w:rPr>
        <w:t xml:space="preserve"> TIF can tie up property tax revenue for decades</w:t>
      </w:r>
      <w:r w:rsidR="003B7A9D" w:rsidRPr="001559DB">
        <w:rPr>
          <w:rFonts w:ascii="Times New Roman" w:hAnsi="Times New Roman" w:cs="Times New Roman"/>
        </w:rPr>
        <w:t xml:space="preserve"> and divert resources from overlapping jurisdictions such as school districts</w:t>
      </w:r>
      <w:r w:rsidR="00C500F7" w:rsidRPr="001559DB">
        <w:rPr>
          <w:rFonts w:ascii="Times New Roman" w:hAnsi="Times New Roman" w:cs="Times New Roman"/>
        </w:rPr>
        <w:t xml:space="preserve">, worsening the </w:t>
      </w:r>
      <w:r w:rsidR="00BD2106" w:rsidRPr="001559DB">
        <w:rPr>
          <w:rFonts w:ascii="Times New Roman" w:hAnsi="Times New Roman" w:cs="Times New Roman"/>
        </w:rPr>
        <w:t>deep fiscal challenges</w:t>
      </w:r>
      <w:r w:rsidR="00C500F7" w:rsidRPr="001559DB">
        <w:rPr>
          <w:rFonts w:ascii="Times New Roman" w:hAnsi="Times New Roman" w:cs="Times New Roman"/>
        </w:rPr>
        <w:t xml:space="preserve"> that many jurisdictions face</w:t>
      </w:r>
      <w:r w:rsidR="00BD2106" w:rsidRPr="001559DB">
        <w:rPr>
          <w:rFonts w:ascii="Times New Roman" w:hAnsi="Times New Roman" w:cs="Times New Roman"/>
        </w:rPr>
        <w:t xml:space="preserve">.  Thus, we need to carefully analyze whether or not </w:t>
      </w:r>
      <w:r w:rsidR="003B7A9D" w:rsidRPr="001559DB">
        <w:rPr>
          <w:rFonts w:ascii="Times New Roman" w:hAnsi="Times New Roman" w:cs="Times New Roman"/>
        </w:rPr>
        <w:t xml:space="preserve">TIFs </w:t>
      </w:r>
      <w:r w:rsidR="00BD2106" w:rsidRPr="001559DB">
        <w:rPr>
          <w:rFonts w:ascii="Times New Roman" w:hAnsi="Times New Roman" w:cs="Times New Roman"/>
        </w:rPr>
        <w:t>actually create the jobs and business growth their proponents promise. To do so we must attempt to answer the classic “but for” test</w:t>
      </w:r>
      <w:r w:rsidR="00BD2106" w:rsidRPr="001559DB">
        <w:rPr>
          <w:rFonts w:ascii="Times New Roman" w:hAnsi="Times New Roman" w:cs="Times New Roman"/>
          <w:shd w:val="clear" w:color="auto" w:fill="FFFFFF"/>
        </w:rPr>
        <w:t xml:space="preserve">, </w:t>
      </w:r>
      <w:r w:rsidR="003B7A9D" w:rsidRPr="001559DB">
        <w:rPr>
          <w:rFonts w:ascii="Times New Roman" w:hAnsi="Times New Roman" w:cs="Times New Roman"/>
          <w:shd w:val="clear" w:color="auto" w:fill="FFFFFF"/>
        </w:rPr>
        <w:t xml:space="preserve">meaning that the growth in valuation would not have occurred </w:t>
      </w:r>
      <w:r w:rsidR="00BD2106" w:rsidRPr="001559DB">
        <w:rPr>
          <w:rFonts w:ascii="Times New Roman" w:hAnsi="Times New Roman" w:cs="Times New Roman"/>
          <w:shd w:val="clear" w:color="auto" w:fill="FFFFFF"/>
        </w:rPr>
        <w:t>"but for" the adoption of tax increment financing</w:t>
      </w:r>
      <w:r w:rsidR="00BD2106" w:rsidRPr="001559DB">
        <w:rPr>
          <w:rFonts w:ascii="Times New Roman" w:hAnsi="Times New Roman" w:cs="Times New Roman"/>
        </w:rPr>
        <w:t>. The determination of the</w:t>
      </w:r>
      <w:r w:rsidR="00BD2106" w:rsidRPr="001559DB">
        <w:rPr>
          <w:rFonts w:ascii="Times New Roman" w:hAnsi="Times New Roman" w:cs="Times New Roman"/>
          <w:shd w:val="clear" w:color="auto" w:fill="FFFFFF"/>
        </w:rPr>
        <w:t xml:space="preserve"> “but for" test</w:t>
      </w:r>
      <w:r w:rsidR="00BD2106" w:rsidRPr="001559DB">
        <w:rPr>
          <w:rFonts w:ascii="Times New Roman" w:hAnsi="Times New Roman" w:cs="Times New Roman"/>
        </w:rPr>
        <w:t xml:space="preserve"> requirement is </w:t>
      </w:r>
      <w:r w:rsidR="003B7A9D" w:rsidRPr="001559DB">
        <w:rPr>
          <w:rFonts w:ascii="Times New Roman" w:hAnsi="Times New Roman" w:cs="Times New Roman"/>
        </w:rPr>
        <w:t xml:space="preserve">typically </w:t>
      </w:r>
      <w:r w:rsidR="00BD2106" w:rsidRPr="001559DB">
        <w:rPr>
          <w:rFonts w:ascii="Times New Roman" w:hAnsi="Times New Roman" w:cs="Times New Roman"/>
        </w:rPr>
        <w:t>made via an affidavit by the proposed developer along with the redevelopment plan.</w:t>
      </w:r>
      <w:r w:rsidR="00BD2106" w:rsidRPr="008227D3">
        <w:rPr>
          <w:rStyle w:val="FootnoteReference"/>
        </w:rPr>
        <w:footnoteReference w:id="3"/>
      </w:r>
      <w:r w:rsidR="00BD2106" w:rsidRPr="001559DB">
        <w:rPr>
          <w:rFonts w:ascii="Times New Roman" w:hAnsi="Times New Roman" w:cs="Times New Roman"/>
        </w:rPr>
        <w:t xml:space="preserve"> The c</w:t>
      </w:r>
      <w:r w:rsidR="00D75D43" w:rsidRPr="001559DB">
        <w:rPr>
          <w:rFonts w:ascii="Times New Roman" w:hAnsi="Times New Roman" w:cs="Times New Roman"/>
        </w:rPr>
        <w:t xml:space="preserve">entral objective of our paper is, therefore, to assess the effectiveness of TIF </w:t>
      </w:r>
      <w:r w:rsidR="00710AD6" w:rsidRPr="001559DB">
        <w:rPr>
          <w:rFonts w:ascii="Times New Roman" w:hAnsi="Times New Roman" w:cs="Times New Roman"/>
        </w:rPr>
        <w:t>and estimate its impact on employment, sales, and its ability to attract new businesses</w:t>
      </w:r>
      <w:r w:rsidR="003B7A9D" w:rsidRPr="001559DB">
        <w:rPr>
          <w:rFonts w:ascii="Times New Roman" w:hAnsi="Times New Roman" w:cs="Times New Roman"/>
        </w:rPr>
        <w:t xml:space="preserve">. </w:t>
      </w:r>
      <w:r w:rsidR="00710AD6" w:rsidRPr="001559DB">
        <w:rPr>
          <w:rFonts w:ascii="Times New Roman" w:hAnsi="Times New Roman" w:cs="Times New Roman"/>
        </w:rPr>
        <w:t xml:space="preserve"> </w:t>
      </w:r>
      <w:r w:rsidR="003B7A9D" w:rsidRPr="001559DB">
        <w:rPr>
          <w:rFonts w:ascii="Times New Roman" w:hAnsi="Times New Roman" w:cs="Times New Roman"/>
        </w:rPr>
        <w:t xml:space="preserve"> We focus our analysis of the </w:t>
      </w:r>
      <w:r w:rsidR="00D75D43" w:rsidRPr="001559DB">
        <w:rPr>
          <w:rFonts w:ascii="Times New Roman" w:hAnsi="Times New Roman" w:cs="Times New Roman"/>
        </w:rPr>
        <w:t xml:space="preserve">“but for” test </w:t>
      </w:r>
      <w:r w:rsidR="003B7A9D" w:rsidRPr="001559DB">
        <w:rPr>
          <w:rFonts w:ascii="Times New Roman" w:hAnsi="Times New Roman" w:cs="Times New Roman"/>
        </w:rPr>
        <w:t>o</w:t>
      </w:r>
      <w:r w:rsidR="00D75D43" w:rsidRPr="001559DB">
        <w:rPr>
          <w:rFonts w:ascii="Times New Roman" w:hAnsi="Times New Roman" w:cs="Times New Roman"/>
        </w:rPr>
        <w:t xml:space="preserve">n </w:t>
      </w:r>
      <w:r w:rsidR="003B7A9D" w:rsidRPr="001559DB">
        <w:rPr>
          <w:rFonts w:ascii="Times New Roman" w:hAnsi="Times New Roman" w:cs="Times New Roman"/>
        </w:rPr>
        <w:t xml:space="preserve">two cities in </w:t>
      </w:r>
      <w:r w:rsidR="00D75D43" w:rsidRPr="001559DB">
        <w:rPr>
          <w:rFonts w:ascii="Times New Roman" w:hAnsi="Times New Roman" w:cs="Times New Roman"/>
        </w:rPr>
        <w:t xml:space="preserve">the state of Missouri, specifically examining the cases of Kansas City and </w:t>
      </w:r>
      <w:r w:rsidR="005576E1" w:rsidRPr="001559DB">
        <w:rPr>
          <w:rFonts w:ascii="Times New Roman" w:hAnsi="Times New Roman" w:cs="Times New Roman"/>
        </w:rPr>
        <w:t>Saint Louis</w:t>
      </w:r>
      <w:r w:rsidR="00CC0A3F" w:rsidRPr="001559DB">
        <w:rPr>
          <w:rFonts w:ascii="Times New Roman" w:hAnsi="Times New Roman" w:cs="Times New Roman"/>
        </w:rPr>
        <w:t xml:space="preserve"> for the study period of 1990 through 2012</w:t>
      </w:r>
      <w:r w:rsidR="00D75D43" w:rsidRPr="001559DB">
        <w:rPr>
          <w:rFonts w:ascii="Times New Roman" w:hAnsi="Times New Roman" w:cs="Times New Roman"/>
        </w:rPr>
        <w:t>.</w:t>
      </w:r>
      <w:r w:rsidR="00C52E0A" w:rsidRPr="001559DB">
        <w:rPr>
          <w:rFonts w:ascii="Times New Roman" w:hAnsi="Times New Roman" w:cs="Times New Roman"/>
        </w:rPr>
        <w:t xml:space="preserve"> </w:t>
      </w:r>
      <w:r w:rsidR="003B7A9D" w:rsidRPr="001559DB">
        <w:rPr>
          <w:rFonts w:ascii="Times New Roman" w:hAnsi="Times New Roman" w:cs="Times New Roman"/>
        </w:rPr>
        <w:t xml:space="preserve">  These cities present ideal cases to study the </w:t>
      </w:r>
      <w:r w:rsidR="003B7A9D" w:rsidRPr="001559DB">
        <w:rPr>
          <w:rFonts w:ascii="Times New Roman" w:hAnsi="Times New Roman" w:cs="Times New Roman"/>
        </w:rPr>
        <w:lastRenderedPageBreak/>
        <w:t>effectiveness of TIF since, like Chicago, TIF is so commonly used there.  Unlike Chicago, wher</w:t>
      </w:r>
      <w:r w:rsidR="005576E1" w:rsidRPr="001559DB">
        <w:rPr>
          <w:rFonts w:ascii="Times New Roman" w:hAnsi="Times New Roman" w:cs="Times New Roman"/>
        </w:rPr>
        <w:t>e</w:t>
      </w:r>
      <w:r w:rsidR="003B7A9D" w:rsidRPr="001559DB">
        <w:rPr>
          <w:rFonts w:ascii="Times New Roman" w:hAnsi="Times New Roman" w:cs="Times New Roman"/>
        </w:rPr>
        <w:t xml:space="preserve"> TIF has been widely studied (Lester, 2014; Weber, </w:t>
      </w:r>
      <w:r w:rsidR="005576E1" w:rsidRPr="001559DB">
        <w:rPr>
          <w:rFonts w:ascii="Times New Roman" w:hAnsi="Times New Roman" w:cs="Times New Roman"/>
        </w:rPr>
        <w:t xml:space="preserve">Bhatta, and Merriman, 2007), Saint Louis and Kansas City have not experienced the same level of private investment and economic growth over the past two decades.  </w:t>
      </w:r>
      <w:r w:rsidR="00C52E0A" w:rsidRPr="001559DB">
        <w:rPr>
          <w:rFonts w:ascii="Times New Roman" w:hAnsi="Times New Roman" w:cs="Times New Roman"/>
        </w:rPr>
        <w:t xml:space="preserve"> </w:t>
      </w:r>
      <w:r w:rsidR="005576E1" w:rsidRPr="001559DB">
        <w:rPr>
          <w:rFonts w:ascii="Times New Roman" w:hAnsi="Times New Roman" w:cs="Times New Roman"/>
        </w:rPr>
        <w:t>In this paper, w</w:t>
      </w:r>
      <w:r w:rsidR="00C52E0A" w:rsidRPr="001559DB">
        <w:rPr>
          <w:rFonts w:ascii="Times New Roman" w:hAnsi="Times New Roman" w:cs="Times New Roman"/>
        </w:rPr>
        <w:t>e build a time-series dataset of detailed employment levels, establishment counts and sales at the census block group</w:t>
      </w:r>
      <w:r w:rsidR="00DF09E9" w:rsidRPr="008227D3">
        <w:rPr>
          <w:rStyle w:val="FootnoteReference"/>
        </w:rPr>
        <w:footnoteReference w:id="4"/>
      </w:r>
      <w:r w:rsidR="00C52E0A" w:rsidRPr="001559DB">
        <w:rPr>
          <w:rFonts w:ascii="Times New Roman" w:hAnsi="Times New Roman" w:cs="Times New Roman"/>
        </w:rPr>
        <w:t xml:space="preserve"> level to run a set of difference-in-differences (</w:t>
      </w:r>
      <w:proofErr w:type="spellStart"/>
      <w:r w:rsidR="00C52E0A" w:rsidRPr="001559DB">
        <w:rPr>
          <w:rFonts w:ascii="Times New Roman" w:hAnsi="Times New Roman" w:cs="Times New Roman"/>
        </w:rPr>
        <w:t>DiD</w:t>
      </w:r>
      <w:proofErr w:type="spellEnd"/>
      <w:r w:rsidR="00C52E0A" w:rsidRPr="001559DB">
        <w:rPr>
          <w:rFonts w:ascii="Times New Roman" w:hAnsi="Times New Roman" w:cs="Times New Roman"/>
        </w:rPr>
        <w:t>) estimates for the impact of TIF at the local level.</w:t>
      </w:r>
      <w:r w:rsidR="00DF09E9" w:rsidRPr="008227D3">
        <w:rPr>
          <w:rStyle w:val="FootnoteReference"/>
        </w:rPr>
        <w:footnoteReference w:id="5"/>
      </w:r>
      <w:r w:rsidR="00C52E0A" w:rsidRPr="001559DB">
        <w:rPr>
          <w:rFonts w:ascii="Times New Roman" w:hAnsi="Times New Roman" w:cs="Times New Roman"/>
        </w:rPr>
        <w:t xml:space="preserve">   Although we analyze the impact of TIF on a wide set of indicators and across various industry sectors, we find no conclusive evidence that the TIF program in either city has a causal impact on key economic development indicators.  </w:t>
      </w:r>
      <w:r w:rsidR="005576E1" w:rsidRPr="001559DB">
        <w:rPr>
          <w:rFonts w:ascii="Times New Roman" w:hAnsi="Times New Roman" w:cs="Times New Roman"/>
        </w:rPr>
        <w:t xml:space="preserve"> This finding should be a caution to policy-makers in similar slow growth regions that TIF is not a panacea and can result in highly regressive fiscal outcomes. </w:t>
      </w:r>
    </w:p>
    <w:p w14:paraId="6E7FDB82" w14:textId="7065A3F4" w:rsidR="00101A76" w:rsidRPr="001559DB" w:rsidRDefault="00101A76" w:rsidP="005576E1">
      <w:pPr>
        <w:autoSpaceDE w:val="0"/>
        <w:autoSpaceDN w:val="0"/>
        <w:adjustRightInd w:val="0"/>
        <w:spacing w:line="480" w:lineRule="auto"/>
        <w:ind w:left="0" w:firstLine="720"/>
        <w:rPr>
          <w:rFonts w:ascii="Times New Roman" w:hAnsi="Times New Roman" w:cs="Times New Roman"/>
        </w:rPr>
      </w:pPr>
      <w:r w:rsidRPr="001559DB">
        <w:rPr>
          <w:rFonts w:ascii="Times New Roman" w:hAnsi="Times New Roman" w:cs="Times New Roman"/>
        </w:rPr>
        <w:t xml:space="preserve">The remainder of this paper is organized as follows. Section 2 </w:t>
      </w:r>
      <w:r w:rsidR="00063A52" w:rsidRPr="001559DB">
        <w:rPr>
          <w:rFonts w:ascii="Times New Roman" w:hAnsi="Times New Roman" w:cs="Times New Roman"/>
        </w:rPr>
        <w:t>provides an overview of how tax increment financing works</w:t>
      </w:r>
      <w:r w:rsidR="005576E1" w:rsidRPr="001559DB">
        <w:rPr>
          <w:rFonts w:ascii="Times New Roman" w:hAnsi="Times New Roman" w:cs="Times New Roman"/>
        </w:rPr>
        <w:t xml:space="preserve"> in each city</w:t>
      </w:r>
      <w:r w:rsidR="00063A52" w:rsidRPr="001559DB">
        <w:rPr>
          <w:rFonts w:ascii="Times New Roman" w:hAnsi="Times New Roman" w:cs="Times New Roman"/>
        </w:rPr>
        <w:t>. Section 3 reviews some of</w:t>
      </w:r>
      <w:r w:rsidRPr="001559DB">
        <w:rPr>
          <w:rFonts w:ascii="Times New Roman" w:hAnsi="Times New Roman" w:cs="Times New Roman"/>
        </w:rPr>
        <w:t xml:space="preserve"> the empirical literature on the impact of TIF and presents the specific research questions of this paper. Section</w:t>
      </w:r>
      <w:r w:rsidR="00D75D43" w:rsidRPr="001559DB">
        <w:rPr>
          <w:rFonts w:ascii="Times New Roman" w:hAnsi="Times New Roman" w:cs="Times New Roman"/>
        </w:rPr>
        <w:t xml:space="preserve"> 4 discusses the methodology and section 5 discusses the data</w:t>
      </w:r>
      <w:r w:rsidR="005576E1" w:rsidRPr="001559DB">
        <w:rPr>
          <w:rFonts w:ascii="Times New Roman" w:hAnsi="Times New Roman" w:cs="Times New Roman"/>
        </w:rPr>
        <w:t xml:space="preserve"> construction steps</w:t>
      </w:r>
      <w:r w:rsidR="00D75D43" w:rsidRPr="001559DB">
        <w:rPr>
          <w:rFonts w:ascii="Times New Roman" w:hAnsi="Times New Roman" w:cs="Times New Roman"/>
        </w:rPr>
        <w:t>. Section 6 presents the main results and discusses the robustness of the findings.</w:t>
      </w:r>
      <w:r w:rsidR="00DC2621" w:rsidRPr="001559DB">
        <w:rPr>
          <w:rFonts w:ascii="Times New Roman" w:hAnsi="Times New Roman" w:cs="Times New Roman"/>
        </w:rPr>
        <w:t xml:space="preserve"> Section 7 concludes.</w:t>
      </w:r>
    </w:p>
    <w:p w14:paraId="576964A6" w14:textId="20DBE1C2" w:rsidR="00063A52" w:rsidRPr="005576E1" w:rsidRDefault="003E7C6F" w:rsidP="00B77519">
      <w:pPr>
        <w:pStyle w:val="Heading1"/>
        <w:spacing w:line="480" w:lineRule="auto"/>
        <w:rPr>
          <w:rFonts w:ascii="Times New Roman" w:eastAsia="TimesNewRomanPSMT" w:hAnsi="Times New Roman" w:cs="Times New Roman"/>
          <w:b/>
          <w:bCs/>
          <w:color w:val="auto"/>
        </w:rPr>
      </w:pPr>
      <w:r w:rsidRPr="005576E1">
        <w:rPr>
          <w:rFonts w:ascii="Times New Roman" w:eastAsia="TimesNewRomanPSMT" w:hAnsi="Times New Roman" w:cs="Times New Roman"/>
          <w:color w:val="auto"/>
        </w:rPr>
        <w:t>2</w:t>
      </w:r>
      <w:r w:rsidRPr="005576E1">
        <w:rPr>
          <w:rFonts w:ascii="Times New Roman" w:eastAsia="TimesNewRomanPSMT" w:hAnsi="Times New Roman" w:cs="Times New Roman"/>
          <w:b/>
          <w:bCs/>
          <w:color w:val="auto"/>
        </w:rPr>
        <w:t xml:space="preserve">. </w:t>
      </w:r>
      <w:r w:rsidR="00BD2106" w:rsidRPr="005576E1">
        <w:rPr>
          <w:rFonts w:ascii="Times New Roman" w:eastAsia="TimesNewRomanPSMT" w:hAnsi="Times New Roman" w:cs="Times New Roman"/>
          <w:b/>
          <w:bCs/>
          <w:color w:val="auto"/>
        </w:rPr>
        <w:t>TIF Background</w:t>
      </w:r>
    </w:p>
    <w:p w14:paraId="4A57AC81" w14:textId="261CFD9F" w:rsidR="00761F70" w:rsidRPr="001559DB" w:rsidRDefault="00761F70" w:rsidP="005576E1">
      <w:pPr>
        <w:spacing w:line="480" w:lineRule="auto"/>
        <w:ind w:left="0" w:firstLine="720"/>
        <w:rPr>
          <w:rFonts w:ascii="Times New Roman" w:hAnsi="Times New Roman" w:cs="Times New Roman"/>
          <w:szCs w:val="24"/>
        </w:rPr>
      </w:pPr>
      <w:r w:rsidRPr="001559DB">
        <w:rPr>
          <w:rFonts w:ascii="Times New Roman" w:hAnsi="Times New Roman" w:cs="Times New Roman"/>
          <w:szCs w:val="24"/>
        </w:rPr>
        <w:t xml:space="preserve">The primary intent of TIF is to attract business, create and retain jobs, increase the tax base, and to stimulate investment in areas where investment is either considered too risky or not likely to occur without some form of public support. </w:t>
      </w:r>
      <w:r w:rsidRPr="001559DB">
        <w:rPr>
          <w:rFonts w:ascii="Times New Roman" w:hAnsi="Times New Roman" w:cs="Times New Roman"/>
          <w:spacing w:val="1"/>
          <w:szCs w:val="24"/>
        </w:rPr>
        <w:t>Specifically,</w:t>
      </w:r>
      <w:r w:rsidRPr="001559DB">
        <w:rPr>
          <w:rFonts w:ascii="Times New Roman" w:hAnsi="Times New Roman" w:cs="Times New Roman"/>
          <w:szCs w:val="24"/>
        </w:rPr>
        <w:t xml:space="preserve"> the City of </w:t>
      </w:r>
      <w:r w:rsidR="005576E1" w:rsidRPr="001559DB">
        <w:rPr>
          <w:rFonts w:ascii="Times New Roman" w:hAnsi="Times New Roman" w:cs="Times New Roman"/>
          <w:szCs w:val="24"/>
        </w:rPr>
        <w:t>Saint Louis</w:t>
      </w:r>
      <w:r w:rsidRPr="001559DB">
        <w:rPr>
          <w:rFonts w:ascii="Times New Roman" w:hAnsi="Times New Roman" w:cs="Times New Roman"/>
          <w:szCs w:val="24"/>
        </w:rPr>
        <w:t xml:space="preserve"> defines TIFs as a </w:t>
      </w:r>
      <w:r w:rsidRPr="001559DB">
        <w:rPr>
          <w:rFonts w:ascii="Times New Roman" w:hAnsi="Times New Roman" w:cs="Times New Roman"/>
          <w:spacing w:val="1"/>
          <w:szCs w:val="24"/>
        </w:rPr>
        <w:t xml:space="preserve">“a development tool designed to help finance certain eligible improvements to property in designated </w:t>
      </w:r>
      <w:r w:rsidRPr="001559DB">
        <w:rPr>
          <w:rFonts w:ascii="Times New Roman" w:hAnsi="Times New Roman" w:cs="Times New Roman"/>
          <w:spacing w:val="1"/>
          <w:szCs w:val="24"/>
        </w:rPr>
        <w:lastRenderedPageBreak/>
        <w:t>redevelopment areas (TIF Districts) by utilizing the new, or incremental, tax revenues generated by the project after completion.”</w:t>
      </w:r>
      <w:r w:rsidRPr="008227D3">
        <w:rPr>
          <w:rStyle w:val="FootnoteReference"/>
        </w:rPr>
        <w:footnoteReference w:id="6"/>
      </w:r>
      <w:r w:rsidRPr="001559DB">
        <w:rPr>
          <w:rFonts w:ascii="Times New Roman" w:hAnsi="Times New Roman" w:cs="Times New Roman"/>
          <w:szCs w:val="24"/>
        </w:rPr>
        <w:t xml:space="preserve"> </w:t>
      </w:r>
    </w:p>
    <w:p w14:paraId="603401BE" w14:textId="51D6B21A" w:rsidR="00045BFA" w:rsidRPr="001559DB" w:rsidRDefault="00045BFA" w:rsidP="001559DB">
      <w:pPr>
        <w:autoSpaceDE w:val="0"/>
        <w:autoSpaceDN w:val="0"/>
        <w:adjustRightInd w:val="0"/>
        <w:spacing w:line="480" w:lineRule="auto"/>
        <w:ind w:left="0" w:firstLine="720"/>
        <w:rPr>
          <w:rFonts w:ascii="Times New Roman" w:hAnsi="Times New Roman" w:cs="Times New Roman"/>
          <w:szCs w:val="24"/>
        </w:rPr>
      </w:pPr>
      <w:r w:rsidRPr="001559DB">
        <w:rPr>
          <w:rFonts w:ascii="Times New Roman" w:hAnsi="Times New Roman" w:cs="Times New Roman"/>
          <w:szCs w:val="24"/>
        </w:rPr>
        <w:t>Local governments agree to underwrite certain redevelopment project costs to attract new private development in a redevelopment area.  The new tax revenue generated is then used to retire notes or bonds that were issued to pay for the redevelopment project costs.</w:t>
      </w:r>
      <w:r w:rsidR="00D75D43" w:rsidRPr="001559DB">
        <w:rPr>
          <w:rFonts w:ascii="Times New Roman" w:hAnsi="Times New Roman" w:cs="Times New Roman"/>
          <w:szCs w:val="24"/>
        </w:rPr>
        <w:t xml:space="preserve"> </w:t>
      </w:r>
      <w:r w:rsidR="00BD2106" w:rsidRPr="001559DB">
        <w:rPr>
          <w:rFonts w:ascii="Times New Roman" w:hAnsi="Times New Roman" w:cs="Times New Roman"/>
          <w:szCs w:val="24"/>
        </w:rPr>
        <w:t xml:space="preserve">In general, tax increment financing works </w:t>
      </w:r>
      <w:r w:rsidR="00D75D43" w:rsidRPr="001559DB">
        <w:rPr>
          <w:rFonts w:ascii="Times New Roman" w:hAnsi="Times New Roman" w:cs="Times New Roman"/>
          <w:szCs w:val="24"/>
        </w:rPr>
        <w:t xml:space="preserve">by freezing real estate taxes at their current levels in taxing districts that fall within the redevelopment area were a TIF plan is adopted. </w:t>
      </w:r>
      <w:r w:rsidRPr="001559DB">
        <w:rPr>
          <w:rFonts w:ascii="Times New Roman" w:hAnsi="Times New Roman" w:cs="Times New Roman"/>
          <w:szCs w:val="24"/>
        </w:rPr>
        <w:t xml:space="preserve">The increased assessed valuation resulting from redevelopment, </w:t>
      </w:r>
      <w:r w:rsidR="00BD2106" w:rsidRPr="001559DB">
        <w:rPr>
          <w:rFonts w:ascii="Times New Roman" w:hAnsi="Times New Roman" w:cs="Times New Roman"/>
          <w:szCs w:val="24"/>
        </w:rPr>
        <w:t xml:space="preserve">tax </w:t>
      </w:r>
      <w:r w:rsidRPr="001559DB">
        <w:rPr>
          <w:rFonts w:ascii="Times New Roman" w:hAnsi="Times New Roman" w:cs="Times New Roman"/>
          <w:szCs w:val="24"/>
        </w:rPr>
        <w:t>“increment”</w:t>
      </w:r>
      <w:r w:rsidR="00BD2106" w:rsidRPr="001559DB">
        <w:rPr>
          <w:rFonts w:ascii="Times New Roman" w:hAnsi="Times New Roman" w:cs="Times New Roman"/>
          <w:szCs w:val="24"/>
        </w:rPr>
        <w:t>,</w:t>
      </w:r>
      <w:r w:rsidRPr="001559DB">
        <w:rPr>
          <w:rFonts w:ascii="Times New Roman" w:hAnsi="Times New Roman" w:cs="Times New Roman"/>
          <w:szCs w:val="24"/>
        </w:rPr>
        <w:t xml:space="preserve"> is </w:t>
      </w:r>
      <w:r w:rsidR="00BD2106" w:rsidRPr="001559DB">
        <w:rPr>
          <w:rFonts w:ascii="Times New Roman" w:hAnsi="Times New Roman" w:cs="Times New Roman"/>
          <w:szCs w:val="24"/>
        </w:rPr>
        <w:t>then used to directly pay</w:t>
      </w:r>
      <w:r w:rsidR="00761F70" w:rsidRPr="001559DB">
        <w:rPr>
          <w:rFonts w:ascii="Times New Roman" w:hAnsi="Times New Roman" w:cs="Times New Roman"/>
          <w:szCs w:val="24"/>
        </w:rPr>
        <w:t xml:space="preserve"> </w:t>
      </w:r>
      <w:r w:rsidR="00BD2106" w:rsidRPr="001559DB">
        <w:rPr>
          <w:rFonts w:ascii="Times New Roman" w:hAnsi="Times New Roman" w:cs="Times New Roman"/>
          <w:szCs w:val="24"/>
        </w:rPr>
        <w:t>for project costs or to retire any debt that was issued to pay for the project costs</w:t>
      </w:r>
      <w:r w:rsidRPr="001559DB">
        <w:rPr>
          <w:rFonts w:ascii="Times New Roman" w:hAnsi="Times New Roman" w:cs="Times New Roman"/>
          <w:szCs w:val="24"/>
        </w:rPr>
        <w:t>.</w:t>
      </w:r>
    </w:p>
    <w:p w14:paraId="58C5AC62" w14:textId="213D55EC" w:rsidR="00E02D69" w:rsidRPr="001559DB" w:rsidRDefault="00DA39EE" w:rsidP="005576E1">
      <w:pPr>
        <w:autoSpaceDE w:val="0"/>
        <w:autoSpaceDN w:val="0"/>
        <w:adjustRightInd w:val="0"/>
        <w:spacing w:line="480" w:lineRule="auto"/>
        <w:ind w:left="0" w:firstLine="720"/>
        <w:rPr>
          <w:rFonts w:ascii="Times New Roman" w:hAnsi="Times New Roman" w:cs="Times New Roman"/>
          <w:szCs w:val="24"/>
        </w:rPr>
      </w:pPr>
      <w:r w:rsidRPr="001559DB">
        <w:rPr>
          <w:rFonts w:ascii="Times New Roman" w:hAnsi="Times New Roman" w:cs="Times New Roman"/>
          <w:szCs w:val="24"/>
        </w:rPr>
        <w:t>Though</w:t>
      </w:r>
      <w:r w:rsidR="00C26D1F" w:rsidRPr="001559DB">
        <w:rPr>
          <w:rFonts w:ascii="Times New Roman" w:hAnsi="Times New Roman" w:cs="Times New Roman"/>
          <w:szCs w:val="24"/>
        </w:rPr>
        <w:t xml:space="preserve"> both Kansas City and </w:t>
      </w:r>
      <w:r w:rsidR="005576E1" w:rsidRPr="001559DB">
        <w:rPr>
          <w:rFonts w:ascii="Times New Roman" w:hAnsi="Times New Roman" w:cs="Times New Roman"/>
          <w:szCs w:val="24"/>
        </w:rPr>
        <w:t>Saint Louis</w:t>
      </w:r>
      <w:r w:rsidR="00C26D1F" w:rsidRPr="001559DB">
        <w:rPr>
          <w:rFonts w:ascii="Times New Roman" w:hAnsi="Times New Roman" w:cs="Times New Roman"/>
          <w:szCs w:val="24"/>
        </w:rPr>
        <w:t xml:space="preserve"> are not unlike many of their peers nationally in their</w:t>
      </w:r>
      <w:r w:rsidRPr="001559DB">
        <w:rPr>
          <w:rFonts w:ascii="Times New Roman" w:hAnsi="Times New Roman" w:cs="Times New Roman"/>
          <w:szCs w:val="24"/>
        </w:rPr>
        <w:t xml:space="preserve"> use</w:t>
      </w:r>
      <w:r w:rsidR="00C26D1F" w:rsidRPr="001559DB">
        <w:rPr>
          <w:rFonts w:ascii="Times New Roman" w:hAnsi="Times New Roman" w:cs="Times New Roman"/>
          <w:szCs w:val="24"/>
        </w:rPr>
        <w:t xml:space="preserve"> of tax increment financing, the</w:t>
      </w:r>
      <w:r w:rsidRPr="001559DB">
        <w:rPr>
          <w:rFonts w:ascii="Times New Roman" w:hAnsi="Times New Roman" w:cs="Times New Roman"/>
          <w:szCs w:val="24"/>
        </w:rPr>
        <w:t xml:space="preserve"> </w:t>
      </w:r>
      <w:r w:rsidR="00C26D1F" w:rsidRPr="001559DB">
        <w:rPr>
          <w:rFonts w:ascii="Times New Roman" w:hAnsi="Times New Roman" w:cs="Times New Roman"/>
          <w:szCs w:val="24"/>
        </w:rPr>
        <w:t xml:space="preserve">regulatory setting in which they operate are unique. </w:t>
      </w:r>
      <w:r w:rsidRPr="001559DB">
        <w:rPr>
          <w:rFonts w:ascii="Times New Roman" w:hAnsi="Times New Roman" w:cs="Times New Roman"/>
          <w:szCs w:val="24"/>
        </w:rPr>
        <w:t xml:space="preserve">Missouri State’s TIF statute allows for up to 50 percent of economic activity taxes (EATs) to be diverted to </w:t>
      </w:r>
      <w:r w:rsidR="00D73E25" w:rsidRPr="001559DB">
        <w:rPr>
          <w:rFonts w:ascii="Times New Roman" w:hAnsi="Times New Roman" w:cs="Times New Roman"/>
          <w:szCs w:val="24"/>
        </w:rPr>
        <w:t>a</w:t>
      </w:r>
      <w:r w:rsidRPr="001559DB">
        <w:rPr>
          <w:rFonts w:ascii="Times New Roman" w:hAnsi="Times New Roman" w:cs="Times New Roman"/>
          <w:szCs w:val="24"/>
        </w:rPr>
        <w:t xml:space="preserve"> TIF</w:t>
      </w:r>
      <w:r w:rsidR="00D73E25" w:rsidRPr="001559DB">
        <w:rPr>
          <w:rFonts w:ascii="Times New Roman" w:hAnsi="Times New Roman" w:cs="Times New Roman"/>
          <w:szCs w:val="24"/>
        </w:rPr>
        <w:t>, whereas other states restrict the revenue that may be diverted to solely the increase in property tax related to the TIF project or district.</w:t>
      </w:r>
      <w:r w:rsidR="003E5B60" w:rsidRPr="001559DB">
        <w:rPr>
          <w:rFonts w:ascii="Times New Roman" w:hAnsi="Times New Roman" w:cs="Times New Roman"/>
          <w:szCs w:val="24"/>
        </w:rPr>
        <w:t xml:space="preserve"> </w:t>
      </w:r>
      <w:r w:rsidR="00C26D1F" w:rsidRPr="001559DB">
        <w:rPr>
          <w:rFonts w:ascii="Times New Roman" w:hAnsi="Times New Roman" w:cs="Times New Roman"/>
          <w:szCs w:val="24"/>
        </w:rPr>
        <w:t>Also of particular interest</w:t>
      </w:r>
      <w:r w:rsidR="003E5B60" w:rsidRPr="001559DB">
        <w:rPr>
          <w:rFonts w:ascii="Times New Roman" w:hAnsi="Times New Roman" w:cs="Times New Roman"/>
          <w:szCs w:val="24"/>
        </w:rPr>
        <w:t xml:space="preserve">, TIFs in </w:t>
      </w:r>
      <w:r w:rsidR="005576E1" w:rsidRPr="001559DB">
        <w:rPr>
          <w:rFonts w:ascii="Times New Roman" w:hAnsi="Times New Roman" w:cs="Times New Roman"/>
          <w:szCs w:val="24"/>
        </w:rPr>
        <w:t>Saint Louis</w:t>
      </w:r>
      <w:r w:rsidR="003E5B60" w:rsidRPr="001559DB">
        <w:rPr>
          <w:rFonts w:ascii="Times New Roman" w:hAnsi="Times New Roman" w:cs="Times New Roman"/>
          <w:szCs w:val="24"/>
        </w:rPr>
        <w:t xml:space="preserve"> </w:t>
      </w:r>
      <w:proofErr w:type="gramStart"/>
      <w:r w:rsidR="003E5B60" w:rsidRPr="001559DB">
        <w:rPr>
          <w:rFonts w:ascii="Times New Roman" w:hAnsi="Times New Roman" w:cs="Times New Roman"/>
          <w:szCs w:val="24"/>
        </w:rPr>
        <w:t>are</w:t>
      </w:r>
      <w:r w:rsidR="00D04AEE" w:rsidRPr="001559DB">
        <w:rPr>
          <w:rFonts w:ascii="Times New Roman" w:hAnsi="Times New Roman" w:cs="Times New Roman"/>
          <w:szCs w:val="24"/>
        </w:rPr>
        <w:t xml:space="preserve"> implemented</w:t>
      </w:r>
      <w:proofErr w:type="gramEnd"/>
      <w:r w:rsidR="00D04AEE" w:rsidRPr="001559DB">
        <w:rPr>
          <w:rFonts w:ascii="Times New Roman" w:hAnsi="Times New Roman" w:cs="Times New Roman"/>
          <w:szCs w:val="24"/>
        </w:rPr>
        <w:t xml:space="preserve"> at a project level whereas elsewhere, including Kansas City, TIFs are implemented at a district level.</w:t>
      </w:r>
      <w:r w:rsidR="00075D04" w:rsidRPr="001559DB">
        <w:rPr>
          <w:rFonts w:ascii="Times New Roman" w:hAnsi="Times New Roman" w:cs="Times New Roman"/>
          <w:szCs w:val="24"/>
        </w:rPr>
        <w:t xml:space="preserve"> </w:t>
      </w:r>
      <w:bookmarkStart w:id="2" w:name="_Hlk488328467"/>
      <w:r w:rsidR="00075D04" w:rsidRPr="001559DB">
        <w:rPr>
          <w:rFonts w:ascii="Times New Roman" w:hAnsi="Times New Roman" w:cs="Times New Roman"/>
          <w:szCs w:val="24"/>
        </w:rPr>
        <w:t xml:space="preserve">In particular, </w:t>
      </w:r>
      <w:r w:rsidR="00EC3EE4" w:rsidRPr="001559DB">
        <w:rPr>
          <w:rFonts w:ascii="Times New Roman" w:hAnsi="Times New Roman" w:cs="Times New Roman"/>
          <w:szCs w:val="24"/>
        </w:rPr>
        <w:t>implementing TIF at a project level could</w:t>
      </w:r>
      <w:r w:rsidR="00075D04" w:rsidRPr="001559DB">
        <w:rPr>
          <w:rFonts w:ascii="Times New Roman" w:hAnsi="Times New Roman" w:cs="Times New Roman"/>
          <w:szCs w:val="24"/>
        </w:rPr>
        <w:t xml:space="preserve"> have the effect of diverting more funds to a particular location than if implanted at a district level.</w:t>
      </w:r>
    </w:p>
    <w:bookmarkEnd w:id="2"/>
    <w:p w14:paraId="434515D8" w14:textId="3D598203" w:rsidR="00E23A10" w:rsidRPr="001559DB" w:rsidRDefault="00850638" w:rsidP="005576E1">
      <w:pPr>
        <w:spacing w:line="480" w:lineRule="auto"/>
        <w:ind w:left="0" w:firstLine="720"/>
        <w:rPr>
          <w:rFonts w:ascii="Times New Roman" w:hAnsi="Times New Roman" w:cs="Times New Roman"/>
          <w:szCs w:val="24"/>
        </w:rPr>
      </w:pPr>
      <w:r w:rsidRPr="001559DB">
        <w:rPr>
          <w:rFonts w:ascii="Times New Roman" w:hAnsi="Times New Roman" w:cs="Times New Roman"/>
          <w:szCs w:val="24"/>
        </w:rPr>
        <w:t>Interest in the effectiveness of TIF</w:t>
      </w:r>
      <w:r w:rsidR="00F64E8D" w:rsidRPr="001559DB">
        <w:rPr>
          <w:rFonts w:ascii="Times New Roman" w:hAnsi="Times New Roman" w:cs="Times New Roman"/>
          <w:szCs w:val="24"/>
        </w:rPr>
        <w:t>, especially</w:t>
      </w:r>
      <w:r w:rsidRPr="001559DB">
        <w:rPr>
          <w:rFonts w:ascii="Times New Roman" w:hAnsi="Times New Roman" w:cs="Times New Roman"/>
          <w:szCs w:val="24"/>
        </w:rPr>
        <w:t xml:space="preserve"> in the </w:t>
      </w:r>
      <w:r w:rsidR="005576E1" w:rsidRPr="001559DB">
        <w:rPr>
          <w:rFonts w:ascii="Times New Roman" w:hAnsi="Times New Roman" w:cs="Times New Roman"/>
          <w:szCs w:val="24"/>
        </w:rPr>
        <w:t>Saint Louis</w:t>
      </w:r>
      <w:r w:rsidRPr="001559DB">
        <w:rPr>
          <w:rFonts w:ascii="Times New Roman" w:hAnsi="Times New Roman" w:cs="Times New Roman"/>
          <w:szCs w:val="24"/>
        </w:rPr>
        <w:t xml:space="preserve"> region</w:t>
      </w:r>
      <w:r w:rsidR="00F64E8D" w:rsidRPr="001559DB">
        <w:rPr>
          <w:rFonts w:ascii="Times New Roman" w:hAnsi="Times New Roman" w:cs="Times New Roman"/>
          <w:szCs w:val="24"/>
        </w:rPr>
        <w:t>,</w:t>
      </w:r>
      <w:r w:rsidRPr="001559DB">
        <w:rPr>
          <w:rFonts w:ascii="Times New Roman" w:hAnsi="Times New Roman" w:cs="Times New Roman"/>
          <w:szCs w:val="24"/>
        </w:rPr>
        <w:t xml:space="preserve"> is not new. Many have criticized the widespread use of TIF in </w:t>
      </w:r>
      <w:r w:rsidR="005576E1" w:rsidRPr="001559DB">
        <w:rPr>
          <w:rFonts w:ascii="Times New Roman" w:hAnsi="Times New Roman" w:cs="Times New Roman"/>
          <w:szCs w:val="24"/>
        </w:rPr>
        <w:t>Saint Louis</w:t>
      </w:r>
      <w:r w:rsidRPr="001559DB">
        <w:rPr>
          <w:rFonts w:ascii="Times New Roman" w:hAnsi="Times New Roman" w:cs="Times New Roman"/>
          <w:szCs w:val="24"/>
        </w:rPr>
        <w:t xml:space="preserve"> as “</w:t>
      </w:r>
      <w:r w:rsidRPr="001559DB">
        <w:rPr>
          <w:rFonts w:ascii="Times New Roman" w:hAnsi="Times New Roman" w:cs="Times New Roman"/>
          <w:spacing w:val="1"/>
          <w:szCs w:val="24"/>
        </w:rPr>
        <w:t>giving incentives to wealthy developers by taking away much-needed tax dollars for education and public safety</w:t>
      </w:r>
      <w:r w:rsidRPr="001559DB">
        <w:rPr>
          <w:rStyle w:val="apple-converted-space"/>
          <w:rFonts w:ascii="Times New Roman" w:hAnsi="Times New Roman" w:cs="Times New Roman"/>
          <w:spacing w:val="1"/>
          <w:szCs w:val="24"/>
        </w:rPr>
        <w:t>”</w:t>
      </w:r>
      <w:r w:rsidR="00F62945" w:rsidRPr="001559DB">
        <w:rPr>
          <w:rStyle w:val="apple-converted-space"/>
          <w:rFonts w:ascii="Times New Roman" w:hAnsi="Times New Roman" w:cs="Times New Roman"/>
          <w:spacing w:val="1"/>
          <w:szCs w:val="24"/>
        </w:rPr>
        <w:fldChar w:fldCharType="begin"/>
      </w:r>
      <w:r w:rsidR="00F62945" w:rsidRPr="001559DB">
        <w:rPr>
          <w:rStyle w:val="apple-converted-space"/>
          <w:rFonts w:ascii="Times New Roman" w:hAnsi="Times New Roman" w:cs="Times New Roman"/>
          <w:spacing w:val="1"/>
          <w:szCs w:val="24"/>
        </w:rPr>
        <w:instrText xml:space="preserve"> ADDIN ZOTERO_ITEM CSL_CITATION {"citationID":"BYWLZbrJ","properties":{"formattedCitation":"(Moffit 2017)","plainCitation":"(Moffit 2017)"},"citationItems":[{"id":179,"uris":["http://zotero.org/users/local/sNCqxxLT/items/DKI5VXJE"],"uri":["http://zotero.org/users/local/sNCqxxLT/items/DKI5VXJE"],"itemData":{"id":179,"type":"article-newspaper","title":"Are TIF, tax abatement being used in St. Louis in the best way?”","container-title":"St. Louis Public Radio","URL":"http://news.stlpublicradio.org/post/are-tif-tax-abatement-being-used-st-louis-best-way-tale-2-differing-philosophies#stream/0","author":[{"family":"Moffit","given":"Kelly"}],"issued":{"date-parts":[["2017",2,21]]}}}],"schema":"https://github.com/citation-style-language/schema/raw/master/csl-citation.json"} </w:instrText>
      </w:r>
      <w:r w:rsidR="00F62945" w:rsidRPr="001559DB">
        <w:rPr>
          <w:rStyle w:val="apple-converted-space"/>
          <w:rFonts w:ascii="Times New Roman" w:hAnsi="Times New Roman" w:cs="Times New Roman"/>
          <w:spacing w:val="1"/>
          <w:szCs w:val="24"/>
        </w:rPr>
        <w:fldChar w:fldCharType="separate"/>
      </w:r>
      <w:r w:rsidR="00F62945" w:rsidRPr="001559DB">
        <w:rPr>
          <w:rFonts w:ascii="Times New Roman" w:hAnsi="Times New Roman" w:cs="Times New Roman"/>
          <w:szCs w:val="24"/>
        </w:rPr>
        <w:t>(Moffit 2017)</w:t>
      </w:r>
      <w:r w:rsidR="00F62945" w:rsidRPr="001559DB">
        <w:rPr>
          <w:rStyle w:val="apple-converted-space"/>
          <w:rFonts w:ascii="Times New Roman" w:hAnsi="Times New Roman" w:cs="Times New Roman"/>
          <w:spacing w:val="1"/>
          <w:szCs w:val="24"/>
        </w:rPr>
        <w:fldChar w:fldCharType="end"/>
      </w:r>
      <w:r w:rsidRPr="001559DB">
        <w:rPr>
          <w:rStyle w:val="apple-converted-space"/>
          <w:rFonts w:ascii="Times New Roman" w:hAnsi="Times New Roman" w:cs="Times New Roman"/>
          <w:spacing w:val="1"/>
          <w:szCs w:val="24"/>
        </w:rPr>
        <w:t xml:space="preserve"> thereby </w:t>
      </w:r>
      <w:r w:rsidRPr="001559DB">
        <w:rPr>
          <w:rFonts w:ascii="Times New Roman" w:hAnsi="Times New Roman" w:cs="Times New Roman"/>
          <w:szCs w:val="24"/>
          <w:bdr w:val="none" w:sz="0" w:space="0" w:color="auto" w:frame="1"/>
          <w:shd w:val="clear" w:color="auto" w:fill="FAFAFA"/>
        </w:rPr>
        <w:t>creating “the potential for overuse and abuse of TIF</w:t>
      </w:r>
      <w:r w:rsidRPr="001559DB">
        <w:rPr>
          <w:rStyle w:val="apple-converted-space"/>
          <w:rFonts w:ascii="Times New Roman" w:hAnsi="Times New Roman" w:cs="Times New Roman"/>
          <w:spacing w:val="1"/>
          <w:szCs w:val="24"/>
        </w:rPr>
        <w:t>”</w:t>
      </w:r>
      <w:r w:rsidR="00F62945" w:rsidRPr="001559DB">
        <w:rPr>
          <w:rStyle w:val="apple-converted-space"/>
          <w:rFonts w:ascii="Times New Roman" w:hAnsi="Times New Roman" w:cs="Times New Roman"/>
          <w:spacing w:val="1"/>
          <w:szCs w:val="24"/>
        </w:rPr>
        <w:fldChar w:fldCharType="begin"/>
      </w:r>
      <w:r w:rsidR="00F62945" w:rsidRPr="001559DB">
        <w:rPr>
          <w:rStyle w:val="apple-converted-space"/>
          <w:rFonts w:ascii="Times New Roman" w:hAnsi="Times New Roman" w:cs="Times New Roman"/>
          <w:spacing w:val="1"/>
          <w:szCs w:val="24"/>
        </w:rPr>
        <w:instrText xml:space="preserve"> ADDIN ZOTERO_ITEM CSL_CITATION {"citationID":"GDyQSm7M","properties":{"formattedCitation":"(Luce 2003)","plainCitation":"(Luce 2003)"},"citationItems":[{"id":177,"uris":["http://zotero.org/users/local/sNCqxxLT/items/7JDUKJIG"],"uri":["http://zotero.org/users/local/sNCqxxLT/items/7JDUKJIG"],"itemData":{"id":177,"type":"article-newspaper","title":"Tax Increment Financing in the Kansas City and St. Louis Metropolitan Areas","container-title":"Brookings","URL":"https://www.brookings.edu/research/tax-increment-financing-in-the-kansas-city-and-st-louis-metropolitan-areas/","author":[{"family":"Luce","given":"Tom"}],"issued":{"date-parts":[["2003",4,1]]}}}],"schema":"https://github.com/citation-style-language/schema/raw/master/csl-citation.json"} </w:instrText>
      </w:r>
      <w:r w:rsidR="00F62945" w:rsidRPr="001559DB">
        <w:rPr>
          <w:rStyle w:val="apple-converted-space"/>
          <w:rFonts w:ascii="Times New Roman" w:hAnsi="Times New Roman" w:cs="Times New Roman"/>
          <w:spacing w:val="1"/>
          <w:szCs w:val="24"/>
        </w:rPr>
        <w:fldChar w:fldCharType="separate"/>
      </w:r>
      <w:r w:rsidR="00F62945" w:rsidRPr="001559DB">
        <w:rPr>
          <w:rFonts w:ascii="Times New Roman" w:hAnsi="Times New Roman" w:cs="Times New Roman"/>
          <w:szCs w:val="24"/>
        </w:rPr>
        <w:t>(Luce 2003)</w:t>
      </w:r>
      <w:r w:rsidR="00F62945" w:rsidRPr="001559DB">
        <w:rPr>
          <w:rStyle w:val="apple-converted-space"/>
          <w:rFonts w:ascii="Times New Roman" w:hAnsi="Times New Roman" w:cs="Times New Roman"/>
          <w:spacing w:val="1"/>
          <w:szCs w:val="24"/>
        </w:rPr>
        <w:fldChar w:fldCharType="end"/>
      </w:r>
      <w:r w:rsidR="00F62945" w:rsidRPr="001559DB">
        <w:rPr>
          <w:rStyle w:val="apple-converted-space"/>
          <w:rFonts w:ascii="Times New Roman" w:hAnsi="Times New Roman" w:cs="Times New Roman"/>
          <w:spacing w:val="1"/>
          <w:szCs w:val="24"/>
        </w:rPr>
        <w:t>.</w:t>
      </w:r>
      <w:r w:rsidRPr="001559DB">
        <w:rPr>
          <w:rStyle w:val="apple-converted-space"/>
          <w:rFonts w:ascii="Times New Roman" w:hAnsi="Times New Roman" w:cs="Times New Roman"/>
          <w:spacing w:val="1"/>
          <w:szCs w:val="24"/>
        </w:rPr>
        <w:t xml:space="preserve"> These claims have non-trivial welfare implications as </w:t>
      </w:r>
      <w:r w:rsidRPr="001559DB">
        <w:rPr>
          <w:rFonts w:ascii="Times New Roman" w:hAnsi="Times New Roman" w:cs="Times New Roman"/>
          <w:szCs w:val="24"/>
        </w:rPr>
        <w:t>freezing the property tax for the length of a TIF prevents the district from benefitting from increased revenue that would have been available if a non-TIF project had developed in the same period.</w:t>
      </w:r>
      <w:r w:rsidRPr="001559DB">
        <w:rPr>
          <w:rStyle w:val="apple-converted-space"/>
          <w:rFonts w:ascii="Times New Roman" w:hAnsi="Times New Roman" w:cs="Times New Roman"/>
          <w:spacing w:val="1"/>
          <w:szCs w:val="24"/>
        </w:rPr>
        <w:t xml:space="preserve"> Another related claim is that TIF is used to finance projects in </w:t>
      </w:r>
      <w:r w:rsidRPr="001559DB">
        <w:rPr>
          <w:rFonts w:ascii="Times New Roman" w:hAnsi="Times New Roman" w:cs="Times New Roman"/>
          <w:szCs w:val="24"/>
          <w:bdr w:val="none" w:sz="0" w:space="0" w:color="auto" w:frame="1"/>
          <w:shd w:val="clear" w:color="auto" w:fill="FAFAFA"/>
        </w:rPr>
        <w:t xml:space="preserve">high-tax-base suburban areas with little need for </w:t>
      </w:r>
      <w:r w:rsidRPr="001559DB">
        <w:rPr>
          <w:rFonts w:ascii="Times New Roman" w:hAnsi="Times New Roman" w:cs="Times New Roman"/>
          <w:szCs w:val="24"/>
          <w:bdr w:val="none" w:sz="0" w:space="0" w:color="auto" w:frame="1"/>
          <w:shd w:val="clear" w:color="auto" w:fill="FAFAFA"/>
        </w:rPr>
        <w:lastRenderedPageBreak/>
        <w:t xml:space="preserve">assistance in the competition for tax base. For example, </w:t>
      </w:r>
      <w:r w:rsidRPr="001559DB">
        <w:rPr>
          <w:rFonts w:ascii="Times New Roman" w:hAnsi="Times New Roman" w:cs="Times New Roman"/>
          <w:szCs w:val="24"/>
          <w:shd w:val="clear" w:color="auto" w:fill="FAFAFA"/>
        </w:rPr>
        <w:t xml:space="preserve">only nine of thirty-three of the </w:t>
      </w:r>
      <w:r w:rsidR="005576E1" w:rsidRPr="001559DB">
        <w:rPr>
          <w:rFonts w:ascii="Times New Roman" w:hAnsi="Times New Roman" w:cs="Times New Roman"/>
          <w:szCs w:val="24"/>
          <w:shd w:val="clear" w:color="auto" w:fill="FAFAFA"/>
        </w:rPr>
        <w:t>Saint Louis</w:t>
      </w:r>
      <w:r w:rsidRPr="001559DB">
        <w:rPr>
          <w:rFonts w:ascii="Times New Roman" w:hAnsi="Times New Roman" w:cs="Times New Roman"/>
          <w:szCs w:val="24"/>
          <w:shd w:val="clear" w:color="auto" w:fill="FAFAFA"/>
        </w:rPr>
        <w:t xml:space="preserve"> region TIF projects lie in the region’s core</w:t>
      </w:r>
      <w:r w:rsidR="00F62945" w:rsidRPr="001559DB">
        <w:rPr>
          <w:rFonts w:ascii="Times New Roman" w:hAnsi="Times New Roman" w:cs="Times New Roman"/>
          <w:szCs w:val="24"/>
          <w:shd w:val="clear" w:color="auto" w:fill="FAFAFA"/>
        </w:rPr>
        <w:t xml:space="preserve"> </w:t>
      </w:r>
      <w:r w:rsidR="00F62945" w:rsidRPr="001559DB">
        <w:rPr>
          <w:rFonts w:ascii="Times New Roman" w:hAnsi="Times New Roman" w:cs="Times New Roman"/>
          <w:szCs w:val="24"/>
          <w:shd w:val="clear" w:color="auto" w:fill="FAFAFA"/>
        </w:rPr>
        <w:fldChar w:fldCharType="begin"/>
      </w:r>
      <w:r w:rsidR="00F62945" w:rsidRPr="001559DB">
        <w:rPr>
          <w:rFonts w:ascii="Times New Roman" w:hAnsi="Times New Roman" w:cs="Times New Roman"/>
          <w:szCs w:val="24"/>
          <w:shd w:val="clear" w:color="auto" w:fill="FAFAFA"/>
        </w:rPr>
        <w:instrText xml:space="preserve"> ADDIN ZOTERO_ITEM CSL_CITATION {"citationID":"CG9MVecT","properties":{"formattedCitation":"(Luce 2003)","plainCitation":"(Luce 2003)"},"citationItems":[{"id":177,"uris":["http://zotero.org/users/local/sNCqxxLT/items/7JDUKJIG"],"uri":["http://zotero.org/users/local/sNCqxxLT/items/7JDUKJIG"],"itemData":{"id":177,"type":"article-newspaper","title":"Tax Increment Financing in the Kansas City and St. Louis Metropolitan Areas","container-title":"Brookings","URL":"https://www.brookings.edu/research/tax-increment-financing-in-the-kansas-city-and-st-louis-metropolitan-areas/","author":[{"family":"Luce","given":"Tom"}],"issued":{"date-parts":[["2003",4,1]]}}}],"schema":"https://github.com/citation-style-language/schema/raw/master/csl-citation.json"} </w:instrText>
      </w:r>
      <w:r w:rsidR="00F62945" w:rsidRPr="001559DB">
        <w:rPr>
          <w:rFonts w:ascii="Times New Roman" w:hAnsi="Times New Roman" w:cs="Times New Roman"/>
          <w:szCs w:val="24"/>
          <w:shd w:val="clear" w:color="auto" w:fill="FAFAFA"/>
        </w:rPr>
        <w:fldChar w:fldCharType="separate"/>
      </w:r>
      <w:r w:rsidR="00F62945" w:rsidRPr="001559DB">
        <w:rPr>
          <w:rFonts w:ascii="Times New Roman" w:hAnsi="Times New Roman" w:cs="Times New Roman"/>
          <w:szCs w:val="24"/>
        </w:rPr>
        <w:t>(Luce 2003)</w:t>
      </w:r>
      <w:r w:rsidR="00F62945" w:rsidRPr="001559DB">
        <w:rPr>
          <w:rFonts w:ascii="Times New Roman" w:hAnsi="Times New Roman" w:cs="Times New Roman"/>
          <w:szCs w:val="24"/>
          <w:shd w:val="clear" w:color="auto" w:fill="FAFAFA"/>
        </w:rPr>
        <w:fldChar w:fldCharType="end"/>
      </w:r>
      <w:r w:rsidRPr="001559DB">
        <w:rPr>
          <w:rFonts w:ascii="Times New Roman" w:hAnsi="Times New Roman" w:cs="Times New Roman"/>
          <w:szCs w:val="24"/>
          <w:shd w:val="clear" w:color="auto" w:fill="FAFAFA"/>
        </w:rPr>
        <w:t xml:space="preserve">. </w:t>
      </w:r>
      <w:r w:rsidRPr="001559DB">
        <w:rPr>
          <w:rFonts w:ascii="Times New Roman" w:hAnsi="Times New Roman" w:cs="Times New Roman"/>
          <w:szCs w:val="24"/>
        </w:rPr>
        <w:t>Others, pointing to a TIF approved in 2010 for the relocation of a Walmart on the same street two miles away, claim the tool encourages a retail shell-game simply shifting sales receipts around the region</w:t>
      </w:r>
      <w:r w:rsidR="00F62945" w:rsidRPr="001559DB">
        <w:rPr>
          <w:rFonts w:ascii="Times New Roman" w:hAnsi="Times New Roman" w:cs="Times New Roman"/>
          <w:szCs w:val="24"/>
        </w:rPr>
        <w:t xml:space="preserve"> </w:t>
      </w:r>
      <w:r w:rsidR="00F62945" w:rsidRPr="001559DB">
        <w:rPr>
          <w:rFonts w:ascii="Times New Roman" w:hAnsi="Times New Roman" w:cs="Times New Roman"/>
          <w:szCs w:val="24"/>
        </w:rPr>
        <w:fldChar w:fldCharType="begin"/>
      </w:r>
      <w:r w:rsidR="00F62945" w:rsidRPr="001559DB">
        <w:rPr>
          <w:rFonts w:ascii="Times New Roman" w:hAnsi="Times New Roman" w:cs="Times New Roman"/>
          <w:szCs w:val="24"/>
        </w:rPr>
        <w:instrText xml:space="preserve"> ADDIN ZOTERO_ITEM CSL_CITATION {"citationID":"sLfRiPEl","properties":{"formattedCitation":"(Gillerman 2010)","plainCitation":"(Gillerman 2010)"},"citationItems":[{"id":170,"uris":["http://zotero.org/users/local/sNCqxxLT/items/2KTHTSDB"],"uri":["http://zotero.org/users/local/sNCqxxLT/items/2KTHTSDB"],"itemData":{"id":170,"type":"article-newspaper","title":"Walmart Store Gets Bridgeton’s Approval","container-title":"St. Louis Post Dispatch","URL":"http://www.stltoday.com/news/local/metro/walmart-store-gets-bridgeton-s-approval/article_8d158273-5237-5e5d-b0d8-fc23c94dc3ff.html","author":[{"family":"Gillerman","given":"Margaret"}],"issued":{"date-parts":[["2010",7,8]]}}}],"schema":"https://github.com/citation-style-language/schema/raw/master/csl-citation.json"} </w:instrText>
      </w:r>
      <w:r w:rsidR="00F62945" w:rsidRPr="001559DB">
        <w:rPr>
          <w:rFonts w:ascii="Times New Roman" w:hAnsi="Times New Roman" w:cs="Times New Roman"/>
          <w:szCs w:val="24"/>
        </w:rPr>
        <w:fldChar w:fldCharType="separate"/>
      </w:r>
      <w:r w:rsidR="00F62945" w:rsidRPr="001559DB">
        <w:rPr>
          <w:rFonts w:ascii="Times New Roman" w:hAnsi="Times New Roman" w:cs="Times New Roman"/>
          <w:szCs w:val="24"/>
        </w:rPr>
        <w:t>(Gillerman 2010)</w:t>
      </w:r>
      <w:r w:rsidR="00F62945" w:rsidRPr="001559DB">
        <w:rPr>
          <w:rFonts w:ascii="Times New Roman" w:hAnsi="Times New Roman" w:cs="Times New Roman"/>
          <w:szCs w:val="24"/>
        </w:rPr>
        <w:fldChar w:fldCharType="end"/>
      </w:r>
      <w:r w:rsidRPr="001559DB">
        <w:rPr>
          <w:rFonts w:ascii="Times New Roman" w:hAnsi="Times New Roman" w:cs="Times New Roman"/>
          <w:szCs w:val="24"/>
        </w:rPr>
        <w:t>.</w:t>
      </w:r>
    </w:p>
    <w:p w14:paraId="2E638E05" w14:textId="58F4D2BA" w:rsidR="00063A52" w:rsidRPr="005576E1" w:rsidRDefault="003E7C6F" w:rsidP="00B77519">
      <w:pPr>
        <w:pStyle w:val="Heading1"/>
        <w:spacing w:line="480" w:lineRule="auto"/>
        <w:rPr>
          <w:rFonts w:ascii="Times New Roman" w:hAnsi="Times New Roman" w:cs="Times New Roman"/>
          <w:b/>
          <w:bCs/>
          <w:color w:val="auto"/>
        </w:rPr>
      </w:pPr>
      <w:r w:rsidRPr="005576E1">
        <w:rPr>
          <w:rFonts w:ascii="Times New Roman" w:hAnsi="Times New Roman" w:cs="Times New Roman"/>
          <w:b/>
          <w:bCs/>
          <w:color w:val="auto"/>
        </w:rPr>
        <w:t xml:space="preserve">3. </w:t>
      </w:r>
      <w:r w:rsidR="003456DF" w:rsidRPr="005576E1">
        <w:rPr>
          <w:rFonts w:ascii="Times New Roman" w:hAnsi="Times New Roman" w:cs="Times New Roman"/>
          <w:b/>
          <w:bCs/>
          <w:color w:val="auto"/>
        </w:rPr>
        <w:t>Literature Review</w:t>
      </w:r>
    </w:p>
    <w:p w14:paraId="4A4FBE6C" w14:textId="77777777" w:rsidR="004033D8" w:rsidRPr="001559DB" w:rsidRDefault="004033D8" w:rsidP="005576E1">
      <w:pPr>
        <w:spacing w:line="480" w:lineRule="auto"/>
        <w:ind w:left="0" w:firstLine="720"/>
        <w:contextualSpacing/>
        <w:rPr>
          <w:rFonts w:ascii="Times New Roman" w:hAnsi="Times New Roman" w:cs="Times New Roman"/>
          <w:szCs w:val="24"/>
        </w:rPr>
      </w:pPr>
      <w:r w:rsidRPr="001559DB">
        <w:rPr>
          <w:rFonts w:ascii="Times New Roman" w:hAnsi="Times New Roman" w:cs="Times New Roman"/>
          <w:szCs w:val="24"/>
        </w:rPr>
        <w:t xml:space="preserve">Since the use of TIFs by local governments has been both a popular and controversial economic development tool, it has received significant attention in the academic literature of economics, public policy, planning, and geography. This section briefly summarizes the most salient studies in order to contextualize the empirical work conducted in this study. This paper focuses only on quantitative research that analyzes the impact of TIF on economic development outcomes.  While the majority of studies studied the effect of TIF designation itself (i.e. whether a parcel falls inside or outside a TIF district), a few also include data on actual spending within the TIF. This is an aspect that is retained in the empirical work proposed in the methodology section.  </w:t>
      </w:r>
    </w:p>
    <w:p w14:paraId="3E5297E2" w14:textId="3D2F0332" w:rsidR="004033D8" w:rsidRPr="001559DB" w:rsidRDefault="004033D8" w:rsidP="005576E1">
      <w:pPr>
        <w:spacing w:line="480" w:lineRule="auto"/>
        <w:ind w:left="0" w:firstLine="720"/>
        <w:contextualSpacing/>
        <w:rPr>
          <w:rFonts w:ascii="Times New Roman" w:hAnsi="Times New Roman" w:cs="Times New Roman"/>
          <w:szCs w:val="24"/>
        </w:rPr>
      </w:pPr>
      <w:r w:rsidRPr="001559DB">
        <w:rPr>
          <w:rFonts w:ascii="Times New Roman" w:hAnsi="Times New Roman" w:cs="Times New Roman"/>
          <w:szCs w:val="24"/>
        </w:rPr>
        <w:t xml:space="preserve">An important part of answering the “but for” question for TIF lies in determining which municipalities are choosing to offer TIF and which districts are being designated for TIF. </w:t>
      </w:r>
      <w:r w:rsidR="00E23A10" w:rsidRPr="001559DB">
        <w:rPr>
          <w:rFonts w:ascii="Times New Roman" w:hAnsi="Times New Roman" w:cs="Times New Roman"/>
          <w:szCs w:val="24"/>
        </w:rPr>
        <w:t xml:space="preserve"> </w:t>
      </w:r>
      <w:r w:rsidRPr="001559DB">
        <w:rPr>
          <w:rFonts w:ascii="Times New Roman" w:hAnsi="Times New Roman" w:cs="Times New Roman"/>
          <w:szCs w:val="24"/>
        </w:rPr>
        <w:t xml:space="preserve">Greenbaum and Landers </w:t>
      </w:r>
      <w:r w:rsidR="00E23A10" w:rsidRPr="001559DB">
        <w:rPr>
          <w:rFonts w:ascii="Times New Roman" w:hAnsi="Times New Roman" w:cs="Times New Roman"/>
          <w:szCs w:val="24"/>
        </w:rPr>
        <w:fldChar w:fldCharType="begin">
          <w:fldData xml:space="preserve">PEVuZE5vdGU+PENpdGUgRXhjbHVkZUF1dGg9IjEiPjxBdXRob3I+R3JlZW5iYXVtPC9BdXRob3I+
PFllYXI+MjAxNDwvWWVhcj48UmVjTnVtPjEwMDc8L1JlY051bT48RGlzcGxheVRleHQ+KDIwMTQp
PC9EaXNwbGF5VGV4dD48cmVjb3JkPjxyZWMtbnVtYmVyPjEwMDc8L3JlYy1udW1iZXI+PGZvcmVp
Z24ta2V5cz48a2V5IGFwcD0iRU4iIGRiLWlkPSI5MmZ6MnZycG4ycmVmM2VzMDVmcDllZWUwYTlz
MHY1YXIyZnAiPjEwMDc8L2tleT48L2ZvcmVpZ24ta2V5cz48cmVmLXR5cGUgbmFtZT0iSm91cm5h
bCBBcnRpY2xlIj4xNzwvcmVmLXR5cGU+PGNvbnRyaWJ1dG9ycz48YXV0aG9ycz48YXV0aG9yPkdy
ZWVuYmF1bSwgUm9iZXJ0IFQuPC9hdXRob3I+PGF1dGhvcj5MYW5kZXJzLCBKaW08L2F1dGhvcj48
L2F1dGhvcnM+PC9jb250cmlidXRvcnM+PHRpdGxlcz48dGl0bGU+VEhFIFRJRkYgT1ZFUiBUSUY6
IEEgUkVWSUVXIE9GIFRIRSBMSVRFUkFUVVJFIEVYQU1JTklORyBUSEUgRUZGRUNUSVZFTkVTUyBP
RiBUaGUgVEFYIElOQ1JFTUVOVCBGSU5BTkNJTkc8L3RpdGxlPjxzZWNvbmRhcnktdGl0bGU+TmF0
aW9uYWwgVGF4IEpvdXJuYWw8L3NlY29uZGFyeS10aXRsZT48L3RpdGxlcz48cGVyaW9kaWNhbD48
ZnVsbC10aXRsZT5OYXRpb25hbCBUYXggSm91cm5hbDwvZnVsbC10aXRsZT48L3BlcmlvZGljYWw+
PHBhZ2VzPjY1NS02NzQ8L3BhZ2VzPjx2b2x1bWU+Njc8L3ZvbHVtZT48bnVtYmVyPjM8L251bWJl
cj48a2V5d29yZHM+PGtleXdvcmQ+UG9saXRpY2FsIFNjaWVuY2U8L2tleXdvcmQ+PGtleXdvcmQ+
U3R1ZGllczwva2V5d29yZD48a2V5d29yZD5UYXggaW5jcmVtZW50IGZpbmFuY2luZzwva2V5d29y
ZD48a2V5d29yZD5FZmZlY3RpdmVuZXNzPC9rZXl3b3JkPjxrZXl3b3JkPlByb3BlcnR5IHRheGVz
PC9rZXl3b3JkPjxrZXl3b3JkPkVjb25vbWljIGRldmVsb3BtZW50PC9rZXl3b3JkPjxrZXl3b3Jk
PkNhbGlmb3JuaWE8L2tleXdvcmQ+PGtleXdvcmQ+VW5pdGVkIFN0YXRlcy0tVVM8L2tleXdvcmQ+
PGtleXdvcmQ+OTEzMDpFeHBlcmltZW50L3RoZW9yZXRpY2FsIHRyZWF0bWVudDwva2V5d29yZD48
a2V5d29yZD45MTkwOlVuaXRlZCBTdGF0ZXM8L2tleXdvcmQ+PGtleXdvcmQ+MTEyMDpFY29ub21p
YyBwb2xpY3kgJmFtcDsgcGxhbm5pbmc8L2tleXdvcmQ+PGtleXdvcmQ+NDIwMDpUYXhhdGlvbjwv
a2V5d29yZD48L2tleXdvcmRzPjxkYXRlcz48eWVhcj4yMDE0PC95ZWFyPjxwdWItZGF0ZXM+PGRh
dGU+U2VwIDIwMTQmI3hEOzIwMTUtMDEtMDc8L2RhdGU+PC9wdWItZGF0ZXM+PC9kYXRlcz48cHVi
LWxvY2F0aW9uPldhc2hpbmd0b248L3B1Yi1sb2NhdGlvbj48cHVibGlzaGVyPk5hdGlvbmFsIFRh
eCBBc3NvY2lhdGlvbjwvcHVibGlzaGVyPjxpc2JuPjAwMjgwMjgzPC9pc2JuPjxhY2Nlc3Npb24t
bnVtPjE2NDI2NjU1NjI8L2FjY2Vzc2lvbi1udW0+PHVybHM+PHJlbGF0ZWQtdXJscz48dXJsPmh0
dHA6Ly9saWJwcm94eS5saWIudW5jLmVkdS9sb2dpbj91cmw9aHR0cDovL3NlYXJjaC5wcm9xdWVz
dC5jb20vZG9jdmlldy8xNjQyNjY1NTYyP2FjY291bnRpZD0xNDI0NDwvdXJsPjx1cmw+aHR0cDov
L1ZCM0xLN0VCNFQuc2VhcmNoLnNlcmlhbHNzb2x1dGlvbi5jb20/Y3R4X3Zlcj1aMzkuODgtMjAw
NCZhbXA7Y3R4X2VuYz1pbmZvOm9maS9lbmM6VVRGLTgmYW1wO3Jmcl9pZD1pbmZvOnNpZC9Qcm9R
JTNBYWJpZ2xvYmFsJmFtcDtyZnRfdmFsX2ZtdD1pbmZvOm9maS9mbXQ6a2V2Om10eDpqb3VybmFs
JmFtcDtyZnQuZ2VucmU9YXJ0aWNsZSZhbXA7cmZ0Lmp0aXRsZT1OYXRpb25hbCtUYXgrSm91cm5h
bCZhbXA7cmZ0LmF0aXRsZT1USEUrVElGRitPVkVSK1RJRiUzQStBK1JFVklFVytPRitUSEUrTElU
RVJBVFVSRStFWEFNSU5JTkcrVEhFK0VGRkVDVElWRU5FU1MrT0YrVGhlK1RBWCtJTkNSRU1FTlQr
RklOQU5DSU5HJmFtcDtyZnQuYXU9R3JlZW5iYXVtJTJDK1JvYmVydCtUJTNCTGFuZGVycyUyQytK
aW0mYW1wO3JmdC5hdWxhc3Q9R3JlZW5iYXVtJmFtcDtyZnQuYXVmaXJzdD1Sb2JlcnQmYW1wO3Jm
dC5kYXRlPTIwMTQtMDktMDEmYW1wO3JmdC52b2x1bWU9NjcmYW1wO3JmdC5pc3N1ZT0zJmFtcDty
ZnQuc3BhZ2U9NjU1JmFtcDtyZnQuaXNibj0mYW1wO3JmdC5idGl0bGU9JmFtcDtyZnQudGl0bGU9
TmF0aW9uYWwrVGF4K0pvdXJuYWwmYW1wO3JmdC5pc3NuPTAwMjgwMjgzJmFtcDtyZnRfaWQ9aW5m
bzpkb2kvPC91cmw+PC9yZWxhdGVkLXVybHM+PC91cmxzPjxyZW1vdGUtZGF0YWJhc2UtbmFtZT5J
bnRlcm5hdGlvbmFsIEJpYmxpb2dyYXBoeSBvZiB0aGUgU29jaWFsIFNjaWVuY2VzIChJQlNTKTsg
UHJvUXVlc3QgQ2VudHJhbDwvcmVtb3RlLWRhdGFiYXNlLW5hbWU+PGxhbmd1YWdlPkVuZ2xpc2g8
L2xhbmd1YWdlPjwvcmVjb3JkPjwvQ2l0ZT48L0VuZE5vdGU+
</w:fldData>
        </w:fldChar>
      </w:r>
      <w:r w:rsidR="00E23A10" w:rsidRPr="001559DB">
        <w:rPr>
          <w:rFonts w:ascii="Times New Roman" w:hAnsi="Times New Roman" w:cs="Times New Roman"/>
          <w:szCs w:val="24"/>
        </w:rPr>
        <w:instrText xml:space="preserve"> ADDIN EN.CITE </w:instrText>
      </w:r>
      <w:r w:rsidR="00E23A10" w:rsidRPr="001559DB">
        <w:rPr>
          <w:rFonts w:ascii="Times New Roman" w:hAnsi="Times New Roman" w:cs="Times New Roman"/>
          <w:szCs w:val="24"/>
        </w:rPr>
        <w:fldChar w:fldCharType="begin">
          <w:fldData xml:space="preserve">PEVuZE5vdGU+PENpdGUgRXhjbHVkZUF1dGg9IjEiPjxBdXRob3I+R3JlZW5iYXVtPC9BdXRob3I+
PFllYXI+MjAxNDwvWWVhcj48UmVjTnVtPjEwMDc8L1JlY051bT48RGlzcGxheVRleHQ+KDIwMTQp
PC9EaXNwbGF5VGV4dD48cmVjb3JkPjxyZWMtbnVtYmVyPjEwMDc8L3JlYy1udW1iZXI+PGZvcmVp
Z24ta2V5cz48a2V5IGFwcD0iRU4iIGRiLWlkPSI5MmZ6MnZycG4ycmVmM2VzMDVmcDllZWUwYTlz
MHY1YXIyZnAiPjEwMDc8L2tleT48L2ZvcmVpZ24ta2V5cz48cmVmLXR5cGUgbmFtZT0iSm91cm5h
bCBBcnRpY2xlIj4xNzwvcmVmLXR5cGU+PGNvbnRyaWJ1dG9ycz48YXV0aG9ycz48YXV0aG9yPkdy
ZWVuYmF1bSwgUm9iZXJ0IFQuPC9hdXRob3I+PGF1dGhvcj5MYW5kZXJzLCBKaW08L2F1dGhvcj48
L2F1dGhvcnM+PC9jb250cmlidXRvcnM+PHRpdGxlcz48dGl0bGU+VEhFIFRJRkYgT1ZFUiBUSUY6
IEEgUkVWSUVXIE9GIFRIRSBMSVRFUkFUVVJFIEVYQU1JTklORyBUSEUgRUZGRUNUSVZFTkVTUyBP
RiBUaGUgVEFYIElOQ1JFTUVOVCBGSU5BTkNJTkc8L3RpdGxlPjxzZWNvbmRhcnktdGl0bGU+TmF0
aW9uYWwgVGF4IEpvdXJuYWw8L3NlY29uZGFyeS10aXRsZT48L3RpdGxlcz48cGVyaW9kaWNhbD48
ZnVsbC10aXRsZT5OYXRpb25hbCBUYXggSm91cm5hbDwvZnVsbC10aXRsZT48L3BlcmlvZGljYWw+
PHBhZ2VzPjY1NS02NzQ8L3BhZ2VzPjx2b2x1bWU+Njc8L3ZvbHVtZT48bnVtYmVyPjM8L251bWJl
cj48a2V5d29yZHM+PGtleXdvcmQ+UG9saXRpY2FsIFNjaWVuY2U8L2tleXdvcmQ+PGtleXdvcmQ+
U3R1ZGllczwva2V5d29yZD48a2V5d29yZD5UYXggaW5jcmVtZW50IGZpbmFuY2luZzwva2V5d29y
ZD48a2V5d29yZD5FZmZlY3RpdmVuZXNzPC9rZXl3b3JkPjxrZXl3b3JkPlByb3BlcnR5IHRheGVz
PC9rZXl3b3JkPjxrZXl3b3JkPkVjb25vbWljIGRldmVsb3BtZW50PC9rZXl3b3JkPjxrZXl3b3Jk
PkNhbGlmb3JuaWE8L2tleXdvcmQ+PGtleXdvcmQ+VW5pdGVkIFN0YXRlcy0tVVM8L2tleXdvcmQ+
PGtleXdvcmQ+OTEzMDpFeHBlcmltZW50L3RoZW9yZXRpY2FsIHRyZWF0bWVudDwva2V5d29yZD48
a2V5d29yZD45MTkwOlVuaXRlZCBTdGF0ZXM8L2tleXdvcmQ+PGtleXdvcmQ+MTEyMDpFY29ub21p
YyBwb2xpY3kgJmFtcDsgcGxhbm5pbmc8L2tleXdvcmQ+PGtleXdvcmQ+NDIwMDpUYXhhdGlvbjwv
a2V5d29yZD48L2tleXdvcmRzPjxkYXRlcz48eWVhcj4yMDE0PC95ZWFyPjxwdWItZGF0ZXM+PGRh
dGU+U2VwIDIwMTQmI3hEOzIwMTUtMDEtMDc8L2RhdGU+PC9wdWItZGF0ZXM+PC9kYXRlcz48cHVi
LWxvY2F0aW9uPldhc2hpbmd0b248L3B1Yi1sb2NhdGlvbj48cHVibGlzaGVyPk5hdGlvbmFsIFRh
eCBBc3NvY2lhdGlvbjwvcHVibGlzaGVyPjxpc2JuPjAwMjgwMjgzPC9pc2JuPjxhY2Nlc3Npb24t
bnVtPjE2NDI2NjU1NjI8L2FjY2Vzc2lvbi1udW0+PHVybHM+PHJlbGF0ZWQtdXJscz48dXJsPmh0
dHA6Ly9saWJwcm94eS5saWIudW5jLmVkdS9sb2dpbj91cmw9aHR0cDovL3NlYXJjaC5wcm9xdWVz
dC5jb20vZG9jdmlldy8xNjQyNjY1NTYyP2FjY291bnRpZD0xNDI0NDwvdXJsPjx1cmw+aHR0cDov
L1ZCM0xLN0VCNFQuc2VhcmNoLnNlcmlhbHNzb2x1dGlvbi5jb20/Y3R4X3Zlcj1aMzkuODgtMjAw
NCZhbXA7Y3R4X2VuYz1pbmZvOm9maS9lbmM6VVRGLTgmYW1wO3Jmcl9pZD1pbmZvOnNpZC9Qcm9R
JTNBYWJpZ2xvYmFsJmFtcDtyZnRfdmFsX2ZtdD1pbmZvOm9maS9mbXQ6a2V2Om10eDpqb3VybmFs
JmFtcDtyZnQuZ2VucmU9YXJ0aWNsZSZhbXA7cmZ0Lmp0aXRsZT1OYXRpb25hbCtUYXgrSm91cm5h
bCZhbXA7cmZ0LmF0aXRsZT1USEUrVElGRitPVkVSK1RJRiUzQStBK1JFVklFVytPRitUSEUrTElU
RVJBVFVSRStFWEFNSU5JTkcrVEhFK0VGRkVDVElWRU5FU1MrT0YrVGhlK1RBWCtJTkNSRU1FTlQr
RklOQU5DSU5HJmFtcDtyZnQuYXU9R3JlZW5iYXVtJTJDK1JvYmVydCtUJTNCTGFuZGVycyUyQytK
aW0mYW1wO3JmdC5hdWxhc3Q9R3JlZW5iYXVtJmFtcDtyZnQuYXVmaXJzdD1Sb2JlcnQmYW1wO3Jm
dC5kYXRlPTIwMTQtMDktMDEmYW1wO3JmdC52b2x1bWU9NjcmYW1wO3JmdC5pc3N1ZT0zJmFtcDty
ZnQuc3BhZ2U9NjU1JmFtcDtyZnQuaXNibj0mYW1wO3JmdC5idGl0bGU9JmFtcDtyZnQudGl0bGU9
TmF0aW9uYWwrVGF4K0pvdXJuYWwmYW1wO3JmdC5pc3NuPTAwMjgwMjgzJmFtcDtyZnRfaWQ9aW5m
bzpkb2kvPC91cmw+PC9yZWxhdGVkLXVybHM+PC91cmxzPjxyZW1vdGUtZGF0YWJhc2UtbmFtZT5J
bnRlcm5hdGlvbmFsIEJpYmxpb2dyYXBoeSBvZiB0aGUgU29jaWFsIFNjaWVuY2VzIChJQlNTKTsg
UHJvUXVlc3QgQ2VudHJhbDwvcmVtb3RlLWRhdGFiYXNlLW5hbWU+PGxhbmd1YWdlPkVuZ2xpc2g8
L2xhbmd1YWdlPjwvcmVjb3JkPjwvQ2l0ZT48L0VuZE5vdGU+
</w:fldData>
        </w:fldChar>
      </w:r>
      <w:r w:rsidR="00E23A10" w:rsidRPr="001559DB">
        <w:rPr>
          <w:rFonts w:ascii="Times New Roman" w:hAnsi="Times New Roman" w:cs="Times New Roman"/>
          <w:szCs w:val="24"/>
        </w:rPr>
        <w:instrText xml:space="preserve"> ADDIN EN.CITE.DATA </w:instrText>
      </w:r>
      <w:r w:rsidR="00E23A10" w:rsidRPr="001559DB">
        <w:rPr>
          <w:rFonts w:ascii="Times New Roman" w:hAnsi="Times New Roman" w:cs="Times New Roman"/>
          <w:szCs w:val="24"/>
        </w:rPr>
      </w:r>
      <w:r w:rsidR="00E23A10" w:rsidRPr="001559DB">
        <w:rPr>
          <w:rFonts w:ascii="Times New Roman" w:hAnsi="Times New Roman" w:cs="Times New Roman"/>
          <w:szCs w:val="24"/>
        </w:rPr>
        <w:fldChar w:fldCharType="end"/>
      </w:r>
      <w:r w:rsidR="00E23A10" w:rsidRPr="001559DB">
        <w:rPr>
          <w:rFonts w:ascii="Times New Roman" w:hAnsi="Times New Roman" w:cs="Times New Roman"/>
          <w:szCs w:val="24"/>
        </w:rPr>
      </w:r>
      <w:r w:rsidR="00E23A10" w:rsidRPr="001559DB">
        <w:rPr>
          <w:rFonts w:ascii="Times New Roman" w:hAnsi="Times New Roman" w:cs="Times New Roman"/>
          <w:szCs w:val="24"/>
        </w:rPr>
        <w:fldChar w:fldCharType="separate"/>
      </w:r>
      <w:r w:rsidR="00E23A10" w:rsidRPr="001559DB">
        <w:rPr>
          <w:rFonts w:ascii="Times New Roman" w:hAnsi="Times New Roman" w:cs="Times New Roman"/>
          <w:noProof/>
          <w:szCs w:val="24"/>
        </w:rPr>
        <w:t>(</w:t>
      </w:r>
      <w:hyperlink w:anchor="_ENREF_6" w:tooltip="Greenbaum, 2014 #1007" w:history="1">
        <w:r w:rsidR="00505F4F" w:rsidRPr="001559DB">
          <w:rPr>
            <w:rFonts w:ascii="Times New Roman" w:hAnsi="Times New Roman" w:cs="Times New Roman"/>
            <w:noProof/>
            <w:szCs w:val="24"/>
          </w:rPr>
          <w:t>2014</w:t>
        </w:r>
      </w:hyperlink>
      <w:r w:rsidR="00E23A10" w:rsidRPr="001559DB">
        <w:rPr>
          <w:rFonts w:ascii="Times New Roman" w:hAnsi="Times New Roman" w:cs="Times New Roman"/>
          <w:noProof/>
          <w:szCs w:val="24"/>
        </w:rPr>
        <w:t>)</w:t>
      </w:r>
      <w:r w:rsidR="00E23A10" w:rsidRPr="001559DB">
        <w:rPr>
          <w:rFonts w:ascii="Times New Roman" w:hAnsi="Times New Roman" w:cs="Times New Roman"/>
          <w:szCs w:val="24"/>
        </w:rPr>
        <w:fldChar w:fldCharType="end"/>
      </w:r>
      <w:r w:rsidRPr="001559DB">
        <w:rPr>
          <w:rFonts w:ascii="Times New Roman" w:hAnsi="Times New Roman" w:cs="Times New Roman"/>
          <w:szCs w:val="24"/>
        </w:rPr>
        <w:t>, in a nation-wide study of 424 municipal and county governments found that local governments that adopted TIF tended to</w:t>
      </w:r>
      <w:r w:rsidR="00755333" w:rsidRPr="001559DB">
        <w:rPr>
          <w:rFonts w:ascii="Times New Roman" w:hAnsi="Times New Roman" w:cs="Times New Roman"/>
          <w:szCs w:val="24"/>
        </w:rPr>
        <w:t xml:space="preserve"> be municipalities rather than</w:t>
      </w:r>
      <w:r w:rsidRPr="001559DB">
        <w:rPr>
          <w:rFonts w:ascii="Times New Roman" w:hAnsi="Times New Roman" w:cs="Times New Roman"/>
          <w:szCs w:val="24"/>
        </w:rPr>
        <w:t xml:space="preserve"> county governments, and also tended to be larger, have lower average personal income, and not be within in a central city. </w:t>
      </w:r>
    </w:p>
    <w:p w14:paraId="651C1A3A" w14:textId="6088B4FD" w:rsidR="004033D8" w:rsidRPr="001559DB" w:rsidRDefault="00063A52" w:rsidP="001559DB">
      <w:pPr>
        <w:pStyle w:val="Heading2"/>
        <w:spacing w:line="480" w:lineRule="auto"/>
        <w:ind w:left="0"/>
        <w:rPr>
          <w:rFonts w:ascii="Times New Roman" w:hAnsi="Times New Roman" w:cs="Times New Roman"/>
          <w:color w:val="auto"/>
          <w:sz w:val="22"/>
          <w:szCs w:val="24"/>
        </w:rPr>
      </w:pPr>
      <w:r w:rsidRPr="005576E1">
        <w:rPr>
          <w:rFonts w:ascii="Times New Roman" w:hAnsi="Times New Roman" w:cs="Times New Roman"/>
          <w:color w:val="auto"/>
        </w:rPr>
        <w:lastRenderedPageBreak/>
        <w:t>3</w:t>
      </w:r>
      <w:r w:rsidR="003456DF" w:rsidRPr="005576E1">
        <w:rPr>
          <w:rFonts w:ascii="Times New Roman" w:hAnsi="Times New Roman" w:cs="Times New Roman"/>
          <w:color w:val="auto"/>
        </w:rPr>
        <w:t xml:space="preserve">.1 Empirical Literature </w:t>
      </w:r>
      <w:r w:rsidR="001559DB">
        <w:rPr>
          <w:rFonts w:ascii="Times New Roman" w:hAnsi="Times New Roman" w:cs="Times New Roman"/>
          <w:color w:val="auto"/>
        </w:rPr>
        <w:t>on TIF and Economic Development</w:t>
      </w:r>
      <w:r w:rsidR="003E7C6F" w:rsidRPr="005576E1">
        <w:rPr>
          <w:rFonts w:ascii="Times New Roman" w:hAnsi="Times New Roman" w:cs="Times New Roman"/>
          <w:color w:val="auto"/>
        </w:rPr>
        <w:br/>
      </w:r>
      <w:r w:rsidR="001559DB">
        <w:rPr>
          <w:rFonts w:ascii="Times New Roman" w:hAnsi="Times New Roman" w:cs="Times New Roman"/>
          <w:color w:val="auto"/>
          <w:sz w:val="22"/>
          <w:szCs w:val="24"/>
        </w:rPr>
        <w:t xml:space="preserve">           </w:t>
      </w:r>
      <w:r w:rsidR="004033D8" w:rsidRPr="001559DB">
        <w:rPr>
          <w:rFonts w:ascii="Times New Roman" w:hAnsi="Times New Roman" w:cs="Times New Roman"/>
          <w:color w:val="auto"/>
          <w:sz w:val="22"/>
          <w:szCs w:val="24"/>
        </w:rPr>
        <w:t xml:space="preserve">Most papers that analyze TIF impact do not explicitly address the problem of endogeneity with regard to TIF designation.  Specifically, since most TIF legislation requires that districts be created in portions of the city that have experienced “blight”, it is possible that TIFs are </w:t>
      </w:r>
      <w:r w:rsidR="004033D8" w:rsidRPr="001559DB">
        <w:rPr>
          <w:rFonts w:ascii="Times New Roman" w:hAnsi="Times New Roman" w:cs="Times New Roman"/>
          <w:i/>
          <w:color w:val="auto"/>
          <w:sz w:val="22"/>
          <w:szCs w:val="24"/>
        </w:rPr>
        <w:t>only</w:t>
      </w:r>
      <w:r w:rsidR="004033D8" w:rsidRPr="001559DB">
        <w:rPr>
          <w:rFonts w:ascii="Times New Roman" w:hAnsi="Times New Roman" w:cs="Times New Roman"/>
          <w:color w:val="auto"/>
          <w:sz w:val="22"/>
          <w:szCs w:val="24"/>
        </w:rPr>
        <w:t xml:space="preserve"> created in less-desirable areas that one would not expect to grow at the same rate as non-blighted sections.  Alternatively, areas might be selected that are expected to grow faster, so more increment can be captured</w:t>
      </w:r>
      <w:r w:rsidR="00215883" w:rsidRPr="001559DB">
        <w:rPr>
          <w:rFonts w:ascii="Times New Roman" w:hAnsi="Times New Roman" w:cs="Times New Roman"/>
          <w:color w:val="auto"/>
          <w:sz w:val="22"/>
          <w:szCs w:val="24"/>
        </w:rPr>
        <w:t xml:space="preserve"> </w:t>
      </w:r>
      <w:r w:rsidR="00215883" w:rsidRPr="001559DB">
        <w:rPr>
          <w:rFonts w:ascii="Times New Roman" w:hAnsi="Times New Roman" w:cs="Times New Roman"/>
          <w:color w:val="auto"/>
          <w:sz w:val="22"/>
          <w:szCs w:val="24"/>
        </w:rPr>
        <w:fldChar w:fldCharType="begin"/>
      </w:r>
      <w:r w:rsidR="006374D6" w:rsidRPr="001559DB">
        <w:rPr>
          <w:rFonts w:ascii="Times New Roman" w:hAnsi="Times New Roman" w:cs="Times New Roman"/>
          <w:color w:val="auto"/>
          <w:sz w:val="22"/>
          <w:szCs w:val="24"/>
        </w:rPr>
        <w:instrText xml:space="preserve"> ADDIN ZOTERO_ITEM CSL_CITATION {"citationID":"mpEWVAuj","properties":{"formattedCitation":"(Greenbaum and Landers 2014)","plainCitation":"(Greenbaum and Landers 2014)"},"citationItems":[{"id":171,"uris":["http://zotero.org/users/local/sNCqxxLT/items/ADXEPMFP"],"uri":["http://zotero.org/users/local/sNCqxxLT/items/ADXEPMFP"],"itemData":{"id":171,"type":"article-journal","title":"The Tiff Over TIF: A Review of the Literature Examining the Effectiveness of the Tax Increment Financing","container-title":"National Tax Journal","page":"655","volume":"67","issue":"3","author":[{"family":"Greenbaum","given":"Robert"},{"family":"Landers","given":"Jim"}],"issued":{"date-parts":[["2014"]]}}}],"schema":"https://github.com/citation-style-language/schema/raw/master/csl-citation.json"} </w:instrText>
      </w:r>
      <w:r w:rsidR="00215883" w:rsidRPr="001559DB">
        <w:rPr>
          <w:rFonts w:ascii="Times New Roman" w:hAnsi="Times New Roman" w:cs="Times New Roman"/>
          <w:color w:val="auto"/>
          <w:sz w:val="22"/>
          <w:szCs w:val="24"/>
        </w:rPr>
        <w:fldChar w:fldCharType="separate"/>
      </w:r>
      <w:r w:rsidR="006374D6" w:rsidRPr="001559DB">
        <w:rPr>
          <w:rFonts w:ascii="Times New Roman" w:hAnsi="Times New Roman" w:cs="Times New Roman"/>
          <w:color w:val="auto"/>
          <w:sz w:val="22"/>
          <w:szCs w:val="24"/>
        </w:rPr>
        <w:t>(Greenbaum and Landers 2014)</w:t>
      </w:r>
      <w:r w:rsidR="00215883" w:rsidRPr="001559DB">
        <w:rPr>
          <w:rFonts w:ascii="Times New Roman" w:hAnsi="Times New Roman" w:cs="Times New Roman"/>
          <w:color w:val="auto"/>
          <w:sz w:val="22"/>
          <w:szCs w:val="24"/>
        </w:rPr>
        <w:fldChar w:fldCharType="end"/>
      </w:r>
      <w:r w:rsidR="004033D8" w:rsidRPr="001559DB">
        <w:rPr>
          <w:rFonts w:ascii="Times New Roman" w:hAnsi="Times New Roman" w:cs="Times New Roman"/>
          <w:color w:val="auto"/>
          <w:sz w:val="22"/>
          <w:szCs w:val="24"/>
        </w:rPr>
        <w:t>.</w:t>
      </w:r>
      <w:r w:rsidR="006374D6" w:rsidRPr="001559DB">
        <w:rPr>
          <w:rFonts w:ascii="Times New Roman" w:hAnsi="Times New Roman" w:cs="Times New Roman"/>
          <w:color w:val="auto"/>
          <w:sz w:val="22"/>
          <w:szCs w:val="24"/>
        </w:rPr>
        <w:t xml:space="preserve"> </w:t>
      </w:r>
      <w:r w:rsidR="006374D6" w:rsidRPr="001559DB">
        <w:rPr>
          <w:rFonts w:ascii="Times New Roman" w:hAnsi="Times New Roman" w:cs="Times New Roman"/>
          <w:color w:val="auto"/>
          <w:sz w:val="22"/>
          <w:szCs w:val="24"/>
        </w:rPr>
        <w:fldChar w:fldCharType="begin"/>
      </w:r>
      <w:r w:rsidR="006374D6" w:rsidRPr="001559DB">
        <w:rPr>
          <w:rFonts w:ascii="Times New Roman" w:hAnsi="Times New Roman" w:cs="Times New Roman"/>
          <w:color w:val="auto"/>
          <w:sz w:val="22"/>
          <w:szCs w:val="24"/>
        </w:rPr>
        <w:instrText xml:space="preserve"> ADDIN ZOTERO_ITEM CSL_CITATION {"citationID":"YHwmEBDE","properties":{"formattedCitation":"(Smith 2009)","plainCitation":"(Smith 2009)"},"citationItems":[{"id":181,"uris":["http://zotero.org/users/local/sNCqxxLT/items/CUP66WJM"],"uri":["http://zotero.org/users/local/sNCqxxLT/items/CUP66WJM"],"itemData":{"id":181,"type":"article-journal","title":"If you promise to build it, will they come? the interaction between local economic development policy and the real estate market: Evidence from tax increment finance districts.","container-title":"Real Estate Economics","page":"208-234","volume":"37","issue":"2","author":[{"family":"Smith","given":"Brent C."}],"issued":{"date-parts":[["2009"]]}}}],"schema":"https://github.com/citation-style-language/schema/raw/master/csl-citation.json"} </w:instrText>
      </w:r>
      <w:r w:rsidR="006374D6" w:rsidRPr="001559DB">
        <w:rPr>
          <w:rFonts w:ascii="Times New Roman" w:hAnsi="Times New Roman" w:cs="Times New Roman"/>
          <w:color w:val="auto"/>
          <w:sz w:val="22"/>
          <w:szCs w:val="24"/>
        </w:rPr>
        <w:fldChar w:fldCharType="separate"/>
      </w:r>
      <w:r w:rsidR="006374D6" w:rsidRPr="001559DB">
        <w:rPr>
          <w:rFonts w:ascii="Times New Roman" w:hAnsi="Times New Roman" w:cs="Times New Roman"/>
          <w:color w:val="auto"/>
          <w:sz w:val="22"/>
          <w:szCs w:val="24"/>
        </w:rPr>
        <w:t>Smith (2009</w:t>
      </w:r>
      <w:r w:rsidR="006374D6" w:rsidRPr="001559DB">
        <w:rPr>
          <w:rFonts w:ascii="Times New Roman" w:hAnsi="Times New Roman" w:cs="Times New Roman"/>
          <w:color w:val="auto"/>
          <w:sz w:val="22"/>
          <w:szCs w:val="24"/>
        </w:rPr>
        <w:fldChar w:fldCharType="end"/>
      </w:r>
      <w:r w:rsidR="006374D6" w:rsidRPr="001559DB">
        <w:rPr>
          <w:rFonts w:ascii="Times New Roman" w:hAnsi="Times New Roman" w:cs="Times New Roman"/>
          <w:color w:val="auto"/>
          <w:sz w:val="22"/>
          <w:szCs w:val="24"/>
        </w:rPr>
        <w:t>)</w:t>
      </w:r>
      <w:r w:rsidR="004033D8" w:rsidRPr="001559DB">
        <w:rPr>
          <w:rFonts w:ascii="Times New Roman" w:hAnsi="Times New Roman" w:cs="Times New Roman"/>
          <w:color w:val="auto"/>
          <w:sz w:val="22"/>
          <w:szCs w:val="24"/>
        </w:rPr>
        <w:t xml:space="preserve"> is one of the only papers to directly address the issue of selection bias with respect to TIF-designation.  He examines the impact of TIF on the change in individual commercial property values and predicts TIF assignment with a propensity score approach that controls for neighborhood characteristics, such as poverty, unemployment and housing values.  This issue is potentially critical in attempting to answer the “but-for” question: in that comparisons between TIF districts and comparable non-TIF parts of the city are necessary.  Smith’s results show that the implicit price of commercial properties in TIF districts increases faster than properties that are not in TIF districts. Further, the rates of change in real estate prices accelerates after TIF designation, even after controlling for the propensity of non-TIF areas to receive designation.  </w:t>
      </w:r>
    </w:p>
    <w:p w14:paraId="2EA43297" w14:textId="6A62D127" w:rsidR="004033D8" w:rsidRPr="001559DB" w:rsidRDefault="004033D8" w:rsidP="005576E1">
      <w:pPr>
        <w:pStyle w:val="p1"/>
        <w:spacing w:line="480" w:lineRule="auto"/>
        <w:ind w:firstLine="720"/>
        <w:contextualSpacing/>
        <w:rPr>
          <w:rFonts w:ascii="Times New Roman" w:hAnsi="Times New Roman"/>
          <w:color w:val="auto"/>
          <w:sz w:val="22"/>
          <w:szCs w:val="24"/>
        </w:rPr>
      </w:pPr>
      <w:r w:rsidRPr="001559DB">
        <w:rPr>
          <w:rFonts w:ascii="Times New Roman" w:hAnsi="Times New Roman"/>
          <w:color w:val="auto"/>
          <w:sz w:val="22"/>
          <w:szCs w:val="24"/>
        </w:rPr>
        <w:t>Finally, one of the few papers to directly examine the impact of TIF on job creation is</w:t>
      </w:r>
      <w:r w:rsidR="006374D6" w:rsidRPr="001559DB">
        <w:rPr>
          <w:rFonts w:ascii="Times New Roman" w:hAnsi="Times New Roman"/>
          <w:color w:val="auto"/>
          <w:sz w:val="22"/>
          <w:szCs w:val="24"/>
        </w:rPr>
        <w:t xml:space="preserve"> </w:t>
      </w:r>
      <w:r w:rsidR="006374D6" w:rsidRPr="001559DB">
        <w:rPr>
          <w:rFonts w:ascii="Times New Roman" w:hAnsi="Times New Roman"/>
          <w:color w:val="auto"/>
          <w:sz w:val="22"/>
          <w:szCs w:val="24"/>
        </w:rPr>
        <w:fldChar w:fldCharType="begin"/>
      </w:r>
      <w:r w:rsidR="006374D6" w:rsidRPr="001559DB">
        <w:rPr>
          <w:rFonts w:ascii="Times New Roman" w:hAnsi="Times New Roman"/>
          <w:color w:val="auto"/>
          <w:sz w:val="22"/>
          <w:szCs w:val="24"/>
        </w:rPr>
        <w:instrText xml:space="preserve"> ADDIN ZOTERO_ITEM CSL_CITATION {"citationID":"Y8wwbL0O","properties":{"formattedCitation":"(Byrne 2010)","plainCitation":"(Byrne 2010)"},"citationItems":[{"id":164,"uris":["http://zotero.org/users/local/sNCqxxLT/items/MDRZA8HX"],"uri":["http://zotero.org/users/local/sNCqxxLT/items/MDRZA8HX"],"itemData":{"id":164,"type":"article-journal","title":"Does tax increment financing deliver on its promise of jobs? The impact of tax increment financing on municipal employment growth.","container-title":"SAGE Publications Sage CA: Los Angeles, CA","page":"13-22","volume":"24","issue":"1","author":[{"family":"Byrne","given":"Paul F."}],"issued":{"date-parts":[["2010"]]}}}],"schema":"https://github.com/citation-style-language/schema/raw/master/csl-citation.json"} </w:instrText>
      </w:r>
      <w:r w:rsidR="006374D6" w:rsidRPr="001559DB">
        <w:rPr>
          <w:rFonts w:ascii="Times New Roman" w:hAnsi="Times New Roman"/>
          <w:color w:val="auto"/>
          <w:sz w:val="22"/>
          <w:szCs w:val="24"/>
        </w:rPr>
        <w:fldChar w:fldCharType="separate"/>
      </w:r>
      <w:r w:rsidR="006374D6" w:rsidRPr="001559DB">
        <w:rPr>
          <w:rFonts w:ascii="Times New Roman" w:hAnsi="Times New Roman"/>
          <w:color w:val="auto"/>
          <w:sz w:val="22"/>
          <w:szCs w:val="24"/>
        </w:rPr>
        <w:t>Byrne (2010)</w:t>
      </w:r>
      <w:r w:rsidR="006374D6" w:rsidRPr="001559DB">
        <w:rPr>
          <w:rFonts w:ascii="Times New Roman" w:hAnsi="Times New Roman"/>
          <w:color w:val="auto"/>
          <w:sz w:val="22"/>
          <w:szCs w:val="24"/>
        </w:rPr>
        <w:fldChar w:fldCharType="end"/>
      </w:r>
      <w:r w:rsidR="006374D6" w:rsidRPr="001559DB">
        <w:rPr>
          <w:rFonts w:ascii="Times New Roman" w:hAnsi="Times New Roman"/>
          <w:color w:val="auto"/>
          <w:sz w:val="22"/>
          <w:szCs w:val="24"/>
        </w:rPr>
        <w:t xml:space="preserve">, </w:t>
      </w:r>
      <w:r w:rsidRPr="001559DB">
        <w:rPr>
          <w:rFonts w:ascii="Times New Roman" w:hAnsi="Times New Roman"/>
          <w:color w:val="auto"/>
          <w:sz w:val="22"/>
          <w:szCs w:val="24"/>
        </w:rPr>
        <w:t>which focuses on the effect of TIF adoption on municipal employment growth in Illinois.  Specifically, Byrne uses a panel dataset consisting of employment and TIF adoption dates at the municipal level and uses a fixed-effect estimate approach</w:t>
      </w:r>
      <w:r w:rsidR="00834590" w:rsidRPr="008227D3">
        <w:rPr>
          <w:rStyle w:val="FootnoteReference"/>
        </w:rPr>
        <w:footnoteReference w:id="7"/>
      </w:r>
      <w:r w:rsidRPr="001559DB">
        <w:rPr>
          <w:rFonts w:ascii="Times New Roman" w:hAnsi="Times New Roman"/>
          <w:color w:val="auto"/>
          <w:sz w:val="22"/>
          <w:szCs w:val="24"/>
        </w:rPr>
        <w:t xml:space="preserve"> to assess the impact of TIF adoption.  Overall, the findings suggest that TIF adoption, in general, does not lead to higher employment.  However, Byrne does not adequately control for the issue of selection bias in that cities that use TIF are potentially those that have experienced slower growth rates relative to rapidly-growing suburban areas. While Byrne uses a first-differenced fixed effects model that he claims eliminates the issue of selection bias, it is still possible </w:t>
      </w:r>
      <w:r w:rsidRPr="001559DB">
        <w:rPr>
          <w:rFonts w:ascii="Times New Roman" w:hAnsi="Times New Roman"/>
          <w:color w:val="auto"/>
          <w:sz w:val="22"/>
          <w:szCs w:val="24"/>
        </w:rPr>
        <w:lastRenderedPageBreak/>
        <w:t xml:space="preserve">that slower growth municipalities adopt a TIF after a recent period of slow growth.  Lastly, as Byrne points out in discussing the detailed findings by industry, it is unclear whether we should even expect to find a municipal-level impact of TIF because its stated purpose is to increase economic development within a narrowly conscribed geographic area. </w:t>
      </w:r>
    </w:p>
    <w:p w14:paraId="60A5ED38" w14:textId="6A5DEC06" w:rsidR="004033D8" w:rsidRPr="001559DB" w:rsidRDefault="00E23A10" w:rsidP="005576E1">
      <w:pPr>
        <w:spacing w:line="480" w:lineRule="auto"/>
        <w:ind w:left="0" w:firstLine="720"/>
        <w:contextualSpacing/>
        <w:rPr>
          <w:rFonts w:ascii="Times New Roman" w:hAnsi="Times New Roman" w:cs="Times New Roman"/>
          <w:szCs w:val="24"/>
        </w:rPr>
      </w:pPr>
      <w:r w:rsidRPr="001559DB">
        <w:rPr>
          <w:rFonts w:ascii="Times New Roman" w:hAnsi="Times New Roman" w:cs="Times New Roman"/>
          <w:szCs w:val="24"/>
        </w:rPr>
        <w:t xml:space="preserve">Using time series data for </w:t>
      </w:r>
      <w:r w:rsidR="004033D8" w:rsidRPr="001559DB">
        <w:rPr>
          <w:rFonts w:ascii="Times New Roman" w:hAnsi="Times New Roman" w:cs="Times New Roman"/>
          <w:szCs w:val="24"/>
        </w:rPr>
        <w:t xml:space="preserve">Chicago at the block group level, </w:t>
      </w:r>
      <w:r w:rsidR="006374D6" w:rsidRPr="001559DB">
        <w:rPr>
          <w:rFonts w:ascii="Times New Roman" w:hAnsi="Times New Roman" w:cs="Times New Roman"/>
          <w:szCs w:val="24"/>
        </w:rPr>
        <w:fldChar w:fldCharType="begin"/>
      </w:r>
      <w:r w:rsidR="006374D6" w:rsidRPr="001559DB">
        <w:rPr>
          <w:rFonts w:ascii="Times New Roman" w:hAnsi="Times New Roman" w:cs="Times New Roman"/>
          <w:szCs w:val="24"/>
        </w:rPr>
        <w:instrText xml:space="preserve"> ADDIN ZOTERO_ITEM CSL_CITATION {"citationID":"fIfWwNy4","properties":{"formattedCitation":"(Lester 2014)","plainCitation":"(Lester 2014)"},"citationItems":[{"id":176,"uris":["http://zotero.org/users/local/sNCqxxLT/items/5BWIBNG9"],"uri":["http://zotero.org/users/local/sNCqxxLT/items/5BWIBNG9"],"itemData":{"id":176,"type":"article-journal","title":"Does Chicago’s tax increment financing (TIF) programme pass the ‘but-for’test? Job creation and economic development impacts using time-series data.","container-title":"Urban Studies","page":"655-674","volume":"51","issue":"4","author":[{"family":"Lester","given":"T. William"}],"issued":{"date-parts":[["2014"]]}}}],"schema":"https://github.com/citation-style-language/schema/raw/master/csl-citation.json"} </w:instrText>
      </w:r>
      <w:r w:rsidR="006374D6" w:rsidRPr="001559DB">
        <w:rPr>
          <w:rFonts w:ascii="Times New Roman" w:hAnsi="Times New Roman" w:cs="Times New Roman"/>
          <w:szCs w:val="24"/>
        </w:rPr>
        <w:fldChar w:fldCharType="separate"/>
      </w:r>
      <w:r w:rsidR="006374D6" w:rsidRPr="001559DB">
        <w:rPr>
          <w:rFonts w:ascii="Times New Roman" w:hAnsi="Times New Roman" w:cs="Times New Roman"/>
          <w:szCs w:val="24"/>
        </w:rPr>
        <w:t>Lester (2014)</w:t>
      </w:r>
      <w:r w:rsidR="006374D6" w:rsidRPr="001559DB">
        <w:rPr>
          <w:rFonts w:ascii="Times New Roman" w:hAnsi="Times New Roman" w:cs="Times New Roman"/>
          <w:szCs w:val="24"/>
        </w:rPr>
        <w:fldChar w:fldCharType="end"/>
      </w:r>
      <w:r w:rsidR="004033D8" w:rsidRPr="001559DB">
        <w:rPr>
          <w:rFonts w:ascii="Times New Roman" w:hAnsi="Times New Roman" w:cs="Times New Roman"/>
          <w:szCs w:val="24"/>
        </w:rPr>
        <w:t xml:space="preserve"> showed that the use of TIF failed the ‘but-for’ test with no evidence of increasing tangible economic development benefits </w:t>
      </w:r>
      <w:r w:rsidRPr="001559DB">
        <w:rPr>
          <w:rFonts w:ascii="Times New Roman" w:hAnsi="Times New Roman" w:cs="Times New Roman"/>
          <w:szCs w:val="24"/>
        </w:rPr>
        <w:t>in terms of job growth or investment</w:t>
      </w:r>
      <w:r w:rsidR="004033D8" w:rsidRPr="001559DB">
        <w:rPr>
          <w:rFonts w:ascii="Times New Roman" w:hAnsi="Times New Roman" w:cs="Times New Roman"/>
          <w:szCs w:val="24"/>
        </w:rPr>
        <w:t xml:space="preserve">. The use of block group level data was significant in that it allowed for testing of the impact of TIF designation on job creation at the same level at which investments are funneled. The paper addressed the issue of selection bias through a weighting mechanism to account for the likelihood of each block group to receive a TIF.  Lester also took advantage of the time series nature of the data set to evaluate whether the timing of TIF designation or investments made from TIF revenues had a greater impact on the economic development of the designated district. </w:t>
      </w:r>
    </w:p>
    <w:p w14:paraId="4E1CF94C" w14:textId="77F42C23" w:rsidR="004033D8" w:rsidRPr="001559DB" w:rsidRDefault="005576E1" w:rsidP="00B77519">
      <w:pPr>
        <w:pStyle w:val="p1"/>
        <w:spacing w:line="480" w:lineRule="auto"/>
        <w:contextualSpacing/>
        <w:rPr>
          <w:rFonts w:ascii="Times New Roman" w:hAnsi="Times New Roman"/>
          <w:color w:val="auto"/>
          <w:sz w:val="22"/>
          <w:szCs w:val="24"/>
        </w:rPr>
      </w:pPr>
      <w:r w:rsidRPr="001559DB">
        <w:rPr>
          <w:rFonts w:ascii="Times New Roman" w:hAnsi="Times New Roman"/>
          <w:color w:val="auto"/>
          <w:sz w:val="22"/>
          <w:szCs w:val="24"/>
          <w:shd w:val="clear" w:color="auto" w:fill="FFFFFF"/>
        </w:rPr>
        <w:tab/>
      </w:r>
      <w:r w:rsidR="006374D6" w:rsidRPr="001559DB">
        <w:rPr>
          <w:rFonts w:ascii="Times New Roman" w:hAnsi="Times New Roman"/>
          <w:color w:val="auto"/>
          <w:sz w:val="22"/>
          <w:szCs w:val="24"/>
          <w:shd w:val="clear" w:color="auto" w:fill="FFFFFF"/>
        </w:rPr>
        <w:fldChar w:fldCharType="begin"/>
      </w:r>
      <w:r w:rsidR="006374D6" w:rsidRPr="001559DB">
        <w:rPr>
          <w:rFonts w:ascii="Times New Roman" w:hAnsi="Times New Roman"/>
          <w:color w:val="auto"/>
          <w:sz w:val="22"/>
          <w:szCs w:val="24"/>
          <w:shd w:val="clear" w:color="auto" w:fill="FFFFFF"/>
        </w:rPr>
        <w:instrText xml:space="preserve"> ADDIN ZOTERO_ITEM CSL_CITATION {"citationID":"01swPGk5","properties":{"formattedCitation":"(Yadavalli and Landers 2017)","plainCitation":"(Yadavalli and Landers 2017)"},"citationItems":[{"id":182,"uris":["http://zotero.org/users/local/sNCqxxLT/items/HJX6UCWZ"],"uri":["http://zotero.org/users/local/sNCqxxLT/items/HJX6UCWZ"],"itemData":{"id":182,"type":"article-journal","title":"Tax Increment Financing: A Propensity Score Approach","container-title":"Economic Development Quarterly","page":"312-325","volume":"31","issue":"4","author":[{"family":"Yadavalli","given":"Anita"},{"family":"Landers","given":"Jim"}],"issued":{"date-parts":[["2017"]]}}}],"schema":"https://github.com/citation-style-language/schema/raw/master/csl-citation.json"} </w:instrText>
      </w:r>
      <w:r w:rsidR="006374D6" w:rsidRPr="001559DB">
        <w:rPr>
          <w:rFonts w:ascii="Times New Roman" w:hAnsi="Times New Roman"/>
          <w:color w:val="auto"/>
          <w:sz w:val="22"/>
          <w:szCs w:val="24"/>
          <w:shd w:val="clear" w:color="auto" w:fill="FFFFFF"/>
        </w:rPr>
        <w:fldChar w:fldCharType="separate"/>
      </w:r>
      <w:r w:rsidR="006374D6" w:rsidRPr="001559DB">
        <w:rPr>
          <w:rFonts w:ascii="Times New Roman" w:hAnsi="Times New Roman"/>
          <w:color w:val="auto"/>
          <w:sz w:val="22"/>
          <w:szCs w:val="24"/>
        </w:rPr>
        <w:t>Yadavalli and Landers (2017)</w:t>
      </w:r>
      <w:r w:rsidR="006374D6" w:rsidRPr="001559DB">
        <w:rPr>
          <w:rFonts w:ascii="Times New Roman" w:hAnsi="Times New Roman"/>
          <w:color w:val="auto"/>
          <w:sz w:val="22"/>
          <w:szCs w:val="24"/>
          <w:shd w:val="clear" w:color="auto" w:fill="FFFFFF"/>
        </w:rPr>
        <w:fldChar w:fldCharType="end"/>
      </w:r>
      <w:r w:rsidR="00072964" w:rsidRPr="001559DB">
        <w:rPr>
          <w:rFonts w:ascii="Times New Roman" w:hAnsi="Times New Roman"/>
          <w:color w:val="auto"/>
          <w:sz w:val="22"/>
          <w:szCs w:val="24"/>
          <w:shd w:val="clear" w:color="auto" w:fill="FFFFFF"/>
        </w:rPr>
        <w:t xml:space="preserve"> </w:t>
      </w:r>
      <w:r w:rsidR="00072964" w:rsidRPr="001559DB">
        <w:rPr>
          <w:rFonts w:ascii="Times New Roman" w:hAnsi="Times New Roman"/>
          <w:color w:val="auto"/>
          <w:sz w:val="22"/>
          <w:szCs w:val="24"/>
        </w:rPr>
        <w:t xml:space="preserve">analyze the effect of TIF on employment growth in the State of Indiana from 2004 to 2013. </w:t>
      </w:r>
      <w:r w:rsidR="004033D8" w:rsidRPr="001559DB">
        <w:rPr>
          <w:rFonts w:ascii="Times New Roman" w:hAnsi="Times New Roman"/>
          <w:color w:val="auto"/>
          <w:sz w:val="22"/>
          <w:szCs w:val="24"/>
        </w:rPr>
        <w:t>This econometric evaluation controlled for endogenous factors using a propensity score matching technique, and found that TIF does not have a statistically significant impact on</w:t>
      </w:r>
      <w:r w:rsidR="00072964" w:rsidRPr="001559DB">
        <w:rPr>
          <w:rFonts w:ascii="Times New Roman" w:hAnsi="Times New Roman"/>
          <w:color w:val="auto"/>
          <w:sz w:val="22"/>
          <w:szCs w:val="24"/>
        </w:rPr>
        <w:t xml:space="preserve"> employment or</w:t>
      </w:r>
      <w:r w:rsidR="004033D8" w:rsidRPr="001559DB">
        <w:rPr>
          <w:rFonts w:ascii="Times New Roman" w:hAnsi="Times New Roman"/>
          <w:color w:val="auto"/>
          <w:sz w:val="22"/>
          <w:szCs w:val="24"/>
        </w:rPr>
        <w:t xml:space="preserve"> employment growth over time. </w:t>
      </w:r>
      <w:r w:rsidR="00072964" w:rsidRPr="001559DB">
        <w:rPr>
          <w:rFonts w:ascii="Times New Roman" w:hAnsi="Times New Roman"/>
          <w:color w:val="auto"/>
          <w:sz w:val="22"/>
          <w:szCs w:val="24"/>
        </w:rPr>
        <w:t>The study</w:t>
      </w:r>
      <w:r w:rsidR="004033D8" w:rsidRPr="001559DB">
        <w:rPr>
          <w:rFonts w:ascii="Times New Roman" w:hAnsi="Times New Roman"/>
          <w:color w:val="auto"/>
          <w:sz w:val="22"/>
          <w:szCs w:val="24"/>
        </w:rPr>
        <w:t xml:space="preserve"> also analyzed the change in Gross Assessed Value in property over time, and found that TIF parcels did exhibit slightly higher growth than non-TIF parcels over time, but the difference was economically small and did not necessarily pass the “but for” test.</w:t>
      </w:r>
      <w:r w:rsidR="00C24D13" w:rsidRPr="001559DB">
        <w:rPr>
          <w:rFonts w:ascii="Times New Roman" w:hAnsi="Times New Roman"/>
          <w:color w:val="auto"/>
          <w:sz w:val="22"/>
          <w:szCs w:val="24"/>
        </w:rPr>
        <w:t xml:space="preserve"> </w:t>
      </w:r>
    </w:p>
    <w:p w14:paraId="67F4BA2F" w14:textId="59B078ED" w:rsidR="004033D8" w:rsidRPr="001559DB" w:rsidRDefault="005576E1" w:rsidP="005576E1">
      <w:pPr>
        <w:pStyle w:val="p1"/>
        <w:spacing w:line="480" w:lineRule="auto"/>
        <w:contextualSpacing/>
        <w:rPr>
          <w:rFonts w:ascii="Times New Roman" w:hAnsi="Times New Roman"/>
          <w:color w:val="auto"/>
          <w:sz w:val="22"/>
          <w:szCs w:val="24"/>
        </w:rPr>
      </w:pPr>
      <w:r w:rsidRPr="001559DB">
        <w:rPr>
          <w:rFonts w:ascii="Times New Roman" w:hAnsi="Times New Roman"/>
          <w:color w:val="auto"/>
          <w:sz w:val="22"/>
          <w:szCs w:val="24"/>
        </w:rPr>
        <w:tab/>
      </w:r>
      <w:r w:rsidR="006374D6" w:rsidRPr="001559DB">
        <w:rPr>
          <w:rFonts w:ascii="Times New Roman" w:hAnsi="Times New Roman"/>
          <w:color w:val="auto"/>
          <w:sz w:val="22"/>
          <w:szCs w:val="24"/>
        </w:rPr>
        <w:fldChar w:fldCharType="begin"/>
      </w:r>
      <w:r w:rsidR="006374D6" w:rsidRPr="001559DB">
        <w:rPr>
          <w:rFonts w:ascii="Times New Roman" w:hAnsi="Times New Roman"/>
          <w:color w:val="auto"/>
          <w:sz w:val="22"/>
          <w:szCs w:val="24"/>
        </w:rPr>
        <w:instrText xml:space="preserve"> ADDIN ZOTERO_ITEM CSL_CITATION {"citationID":"w9tNhrpw","properties":{"formattedCitation":"(Hicks, Faulk, and Deveraj 2016)","plainCitation":"(Hicks, Faulk, and Deveraj 2016)"},"citationItems":[{"id":172,"uris":["http://zotero.org/users/local/sNCqxxLT/items/H6IGMQCS"],"uri":["http://zotero.org/users/local/sNCqxxLT/items/H6IGMQCS"],"itemData":{"id":172,"type":"article","title":"The Fiscal Impact of Tax Increment Financing in Indiana","publisher":"Policy Brief, Ball State University Center for Business and Economic Research","author":[{"family":"Hicks","given":"MJ"},{"family":"Faulk","given":"Dagney"},{"family":"Deveraj","given":"Skritant"}],"issued":{"date-parts":[["2016"]]}}}],"schema":"https://github.com/citation-style-language/schema/raw/master/csl-citation.json"} </w:instrText>
      </w:r>
      <w:r w:rsidR="006374D6" w:rsidRPr="001559DB">
        <w:rPr>
          <w:rFonts w:ascii="Times New Roman" w:hAnsi="Times New Roman"/>
          <w:color w:val="auto"/>
          <w:sz w:val="22"/>
          <w:szCs w:val="24"/>
        </w:rPr>
        <w:fldChar w:fldCharType="separate"/>
      </w:r>
      <w:r w:rsidR="006374D6" w:rsidRPr="001559DB">
        <w:rPr>
          <w:rFonts w:ascii="Times New Roman" w:hAnsi="Times New Roman"/>
          <w:color w:val="auto"/>
          <w:sz w:val="22"/>
          <w:szCs w:val="24"/>
        </w:rPr>
        <w:t>Hicks, Faulk, and Deveraj (2016)</w:t>
      </w:r>
      <w:r w:rsidR="006374D6" w:rsidRPr="001559DB">
        <w:rPr>
          <w:rFonts w:ascii="Times New Roman" w:hAnsi="Times New Roman"/>
          <w:color w:val="auto"/>
          <w:sz w:val="22"/>
          <w:szCs w:val="24"/>
        </w:rPr>
        <w:fldChar w:fldCharType="end"/>
      </w:r>
      <w:r w:rsidR="004033D8" w:rsidRPr="001559DB">
        <w:rPr>
          <w:rFonts w:ascii="Times New Roman" w:hAnsi="Times New Roman"/>
          <w:color w:val="auto"/>
          <w:sz w:val="22"/>
          <w:szCs w:val="24"/>
        </w:rPr>
        <w:t xml:space="preserve"> took an alternative approach and evaluated the effectiveness of TIF by examining fiscal impacts. Their study, conducted in the context of Indiana, found no net benefits for overall economic development in terms of assessed value, payrolls, employment, taxable income or taxable sales of goods. It also reported heavy losses to the state’s non-TIF tax base, as large as $12.3 billion a year.</w:t>
      </w:r>
      <w:r w:rsidRPr="001559DB">
        <w:rPr>
          <w:rFonts w:ascii="Times New Roman" w:hAnsi="Times New Roman"/>
          <w:color w:val="auto"/>
          <w:sz w:val="22"/>
          <w:szCs w:val="24"/>
        </w:rPr>
        <w:t xml:space="preserve"> </w:t>
      </w:r>
      <w:r w:rsidR="004033D8" w:rsidRPr="001559DB">
        <w:rPr>
          <w:rFonts w:ascii="Times New Roman" w:hAnsi="Times New Roman"/>
          <w:color w:val="auto"/>
          <w:sz w:val="22"/>
          <w:szCs w:val="24"/>
        </w:rPr>
        <w:t xml:space="preserve">Another strand of the empirical TIF literature focuses on its impact on real estate values and reveals mixed, but largely negative, results.  For example, </w:t>
      </w:r>
      <w:r w:rsidR="006374D6" w:rsidRPr="001559DB">
        <w:rPr>
          <w:rFonts w:ascii="Times New Roman" w:hAnsi="Times New Roman"/>
          <w:color w:val="auto"/>
          <w:sz w:val="22"/>
          <w:szCs w:val="24"/>
        </w:rPr>
        <w:fldChar w:fldCharType="begin"/>
      </w:r>
      <w:r w:rsidR="006374D6" w:rsidRPr="001559DB">
        <w:rPr>
          <w:rFonts w:ascii="Times New Roman" w:hAnsi="Times New Roman"/>
          <w:color w:val="auto"/>
          <w:sz w:val="22"/>
          <w:szCs w:val="24"/>
        </w:rPr>
        <w:instrText xml:space="preserve"> ADDIN ZOTERO_ITEM CSL_CITATION {"citationID":"Jawp0Dfn","properties":{"formattedCitation":"(Dye and Merriman 2000)","plainCitation":"(Dye and Merriman 2000)"},"citationItems":[{"id":167,"uris":["http://zotero.org/users/local/sNCqxxLT/items/H547M86N"],"uri":["http://zotero.org/users/local/sNCqxxLT/items/H547M86N"],"itemData":{"id":167,"type":"article-journal","title":"The effects of tax increment financing on economic development.","container-title":"Journal of Urban Economics","page":"306-328","volume":"47","issue":"2","author":[{"family":"Dye","given":"Richard F."},{"family":"Merriman","given":"David F."}],"issued":{"date-parts":[["2000"]]}}}],"schema":"https://github.com/citation-style-language/schema/raw/master/csl-citation.json"} </w:instrText>
      </w:r>
      <w:r w:rsidR="006374D6" w:rsidRPr="001559DB">
        <w:rPr>
          <w:rFonts w:ascii="Times New Roman" w:hAnsi="Times New Roman"/>
          <w:color w:val="auto"/>
          <w:sz w:val="22"/>
          <w:szCs w:val="24"/>
        </w:rPr>
        <w:fldChar w:fldCharType="separate"/>
      </w:r>
      <w:r w:rsidR="006374D6" w:rsidRPr="001559DB">
        <w:rPr>
          <w:rFonts w:ascii="Times New Roman" w:hAnsi="Times New Roman"/>
          <w:color w:val="auto"/>
          <w:sz w:val="22"/>
          <w:szCs w:val="24"/>
        </w:rPr>
        <w:t>Dye and Merriman (2000)</w:t>
      </w:r>
      <w:r w:rsidR="006374D6" w:rsidRPr="001559DB">
        <w:rPr>
          <w:rFonts w:ascii="Times New Roman" w:hAnsi="Times New Roman"/>
          <w:color w:val="auto"/>
          <w:sz w:val="22"/>
          <w:szCs w:val="24"/>
        </w:rPr>
        <w:fldChar w:fldCharType="end"/>
      </w:r>
      <w:r w:rsidR="006374D6" w:rsidRPr="001559DB">
        <w:rPr>
          <w:rFonts w:ascii="Times New Roman" w:hAnsi="Times New Roman"/>
          <w:color w:val="auto"/>
          <w:sz w:val="22"/>
          <w:szCs w:val="24"/>
        </w:rPr>
        <w:t xml:space="preserve"> </w:t>
      </w:r>
      <w:r w:rsidR="004033D8" w:rsidRPr="001559DB">
        <w:rPr>
          <w:rFonts w:ascii="Times New Roman" w:hAnsi="Times New Roman"/>
          <w:color w:val="auto"/>
          <w:sz w:val="22"/>
          <w:szCs w:val="24"/>
        </w:rPr>
        <w:t xml:space="preserve">use data from municipalities within the Chicago metropolitan area to examine whether TIF adoption impacts overall </w:t>
      </w:r>
      <w:r w:rsidR="004033D8" w:rsidRPr="001559DB">
        <w:rPr>
          <w:rFonts w:ascii="Times New Roman" w:hAnsi="Times New Roman"/>
          <w:color w:val="auto"/>
          <w:sz w:val="22"/>
          <w:szCs w:val="24"/>
        </w:rPr>
        <w:lastRenderedPageBreak/>
        <w:t>growth in equalized assessed value (EAV).  They found that TIF adoption had a negative impact on municipality growth, even after controlling for a variety of municipal characteristics—community type, community location, and fiscal structure.  They attribute this finding to higher growth within TIF districts at the expense of non-TIF portions of the city.  This finding is echoed by</w:t>
      </w:r>
      <w:r w:rsidR="006374D6" w:rsidRPr="001559DB">
        <w:rPr>
          <w:rFonts w:ascii="Times New Roman" w:hAnsi="Times New Roman"/>
          <w:color w:val="auto"/>
          <w:sz w:val="22"/>
          <w:szCs w:val="24"/>
        </w:rPr>
        <w:t xml:space="preserve"> </w:t>
      </w:r>
      <w:r w:rsidR="006374D6" w:rsidRPr="001559DB">
        <w:rPr>
          <w:rFonts w:ascii="Times New Roman" w:hAnsi="Times New Roman"/>
          <w:color w:val="auto"/>
          <w:sz w:val="22"/>
          <w:szCs w:val="24"/>
        </w:rPr>
        <w:fldChar w:fldCharType="begin"/>
      </w:r>
      <w:r w:rsidR="006374D6" w:rsidRPr="001559DB">
        <w:rPr>
          <w:rFonts w:ascii="Times New Roman" w:hAnsi="Times New Roman"/>
          <w:color w:val="auto"/>
          <w:sz w:val="22"/>
          <w:szCs w:val="24"/>
        </w:rPr>
        <w:instrText xml:space="preserve"> ADDIN ZOTERO_ITEM CSL_CITATION {"citationID":"cOD7Nm2E","properties":{"formattedCitation":"(Merriman, Skidmore, and Kashian 2011)","plainCitation":"(Merriman, Skidmore, and Kashian 2011)"},"citationItems":[{"id":178,"uris":["http://zotero.org/users/local/sNCqxxLT/items/SQZENK2S"],"uri":["http://zotero.org/users/local/sNCqxxLT/items/SQZENK2S"],"itemData":{"id":178,"type":"article-journal","title":"Do tax increment finance districts stimulate growth in real estate values?","container-title":"Real Estate Economics","page":"221-250","volume":"39","issue":"2","author":[{"family":"Merriman","given":"David F."},{"family":"Skidmore","given":"Mark L."},{"family":"Kashian","given":""}],"issued":{"date-parts":[["2011"]]}}}],"schema":"https://github.com/citation-style-language/schema/raw/master/csl-citation.json"} </w:instrText>
      </w:r>
      <w:r w:rsidR="006374D6" w:rsidRPr="001559DB">
        <w:rPr>
          <w:rFonts w:ascii="Times New Roman" w:hAnsi="Times New Roman"/>
          <w:color w:val="auto"/>
          <w:sz w:val="22"/>
          <w:szCs w:val="24"/>
        </w:rPr>
        <w:fldChar w:fldCharType="separate"/>
      </w:r>
      <w:r w:rsidR="006374D6" w:rsidRPr="001559DB">
        <w:rPr>
          <w:rFonts w:ascii="Times New Roman" w:hAnsi="Times New Roman"/>
          <w:color w:val="auto"/>
          <w:sz w:val="22"/>
          <w:szCs w:val="24"/>
        </w:rPr>
        <w:t>Merriman, Skidmore, and Kashian (2011)</w:t>
      </w:r>
      <w:r w:rsidR="006374D6" w:rsidRPr="001559DB">
        <w:rPr>
          <w:rFonts w:ascii="Times New Roman" w:hAnsi="Times New Roman"/>
          <w:color w:val="auto"/>
          <w:sz w:val="22"/>
          <w:szCs w:val="24"/>
        </w:rPr>
        <w:fldChar w:fldCharType="end"/>
      </w:r>
      <w:r w:rsidR="004033D8" w:rsidRPr="001559DB">
        <w:rPr>
          <w:rFonts w:ascii="Times New Roman" w:hAnsi="Times New Roman"/>
          <w:color w:val="auto"/>
          <w:sz w:val="22"/>
          <w:szCs w:val="24"/>
        </w:rPr>
        <w:t xml:space="preserve"> using city-level data from Wisconsin. </w:t>
      </w:r>
      <w:r w:rsidR="006374D6" w:rsidRPr="001559DB">
        <w:rPr>
          <w:rFonts w:ascii="Times New Roman" w:hAnsi="Times New Roman"/>
          <w:color w:val="auto"/>
          <w:sz w:val="22"/>
          <w:szCs w:val="24"/>
        </w:rPr>
        <w:fldChar w:fldCharType="begin"/>
      </w:r>
      <w:r w:rsidR="006374D6" w:rsidRPr="001559DB">
        <w:rPr>
          <w:rFonts w:ascii="Times New Roman" w:hAnsi="Times New Roman"/>
          <w:color w:val="auto"/>
          <w:sz w:val="22"/>
          <w:szCs w:val="24"/>
        </w:rPr>
        <w:instrText xml:space="preserve"> ADDIN ZOTERO_ITEM CSL_CITATION {"citationID":"6R8pnWEi","properties":{"formattedCitation":"(Weber, Bhatta, and Merriman 2007)","plainCitation":"(Weber, Bhatta, and Merriman 2007)"},"citationItems":[{"id":183,"uris":["http://zotero.org/users/local/sNCqxxLT/items/53B8G3KH"],"uri":["http://zotero.org/users/local/sNCqxxLT/items/53B8G3KH"],"itemData":{"id":183,"type":"article-journal","title":"The Impact of Tax Increment Financing on Residential Property Values","container-title":"Regional Science and Urban Economics","page":"259-281","volume":"37","issue":"2","author":[{"family":"Weber","given":"Rachel"},{"family":"Bhatta","given":"S.D."},{"family":"Merriman","given":"David F."}],"issued":{"date-parts":[["2007"]]}}}],"schema":"https://github.com/citation-style-language/schema/raw/master/csl-citation.json"} </w:instrText>
      </w:r>
      <w:r w:rsidR="006374D6" w:rsidRPr="001559DB">
        <w:rPr>
          <w:rFonts w:ascii="Times New Roman" w:hAnsi="Times New Roman"/>
          <w:color w:val="auto"/>
          <w:sz w:val="22"/>
          <w:szCs w:val="24"/>
        </w:rPr>
        <w:fldChar w:fldCharType="separate"/>
      </w:r>
      <w:r w:rsidR="006374D6" w:rsidRPr="001559DB">
        <w:rPr>
          <w:rFonts w:ascii="Times New Roman" w:hAnsi="Times New Roman"/>
          <w:color w:val="auto"/>
          <w:sz w:val="22"/>
          <w:szCs w:val="24"/>
        </w:rPr>
        <w:t>Weber, Bhatta, and Merriman (2007)</w:t>
      </w:r>
      <w:r w:rsidR="006374D6" w:rsidRPr="001559DB">
        <w:rPr>
          <w:rFonts w:ascii="Times New Roman" w:hAnsi="Times New Roman"/>
          <w:color w:val="auto"/>
          <w:sz w:val="22"/>
          <w:szCs w:val="24"/>
        </w:rPr>
        <w:fldChar w:fldCharType="end"/>
      </w:r>
      <w:r w:rsidR="004033D8" w:rsidRPr="001559DB">
        <w:rPr>
          <w:rFonts w:ascii="Times New Roman" w:hAnsi="Times New Roman"/>
          <w:color w:val="auto"/>
          <w:sz w:val="22"/>
          <w:szCs w:val="24"/>
        </w:rPr>
        <w:t xml:space="preserve"> analyzed appreciation rates of single-family homes that sold more than one time from 1993 to 1999 in the City of Chicago.  After controlling for the characteristics of homes and neighborhood conditions, this study found mixed results that indicated that that proximity to an industrial TIF district negatively affected prices, but proximity to TIF districts with both commercial and residential parcels increased appreciation rates.  A critical aspect of their study is the use as an additional control of information on TIF-funded activity as well as a measure of TIF spending. </w:t>
      </w:r>
    </w:p>
    <w:p w14:paraId="786638EB" w14:textId="09F90A27" w:rsidR="004033D8" w:rsidRPr="005576E1" w:rsidRDefault="005576E1" w:rsidP="00B77519">
      <w:pPr>
        <w:spacing w:line="480" w:lineRule="auto"/>
        <w:ind w:left="0"/>
        <w:contextualSpacing/>
        <w:rPr>
          <w:rFonts w:ascii="Times New Roman" w:hAnsi="Times New Roman" w:cs="Times New Roman"/>
          <w:sz w:val="24"/>
          <w:szCs w:val="24"/>
        </w:rPr>
      </w:pPr>
      <w:r w:rsidRPr="005576E1">
        <w:rPr>
          <w:rFonts w:ascii="Times New Roman" w:hAnsi="Times New Roman" w:cs="Times New Roman"/>
          <w:sz w:val="24"/>
          <w:szCs w:val="24"/>
        </w:rPr>
        <w:tab/>
      </w:r>
      <w:r w:rsidR="00FD6387" w:rsidRPr="005576E1">
        <w:rPr>
          <w:rFonts w:ascii="Times New Roman" w:hAnsi="Times New Roman" w:cs="Times New Roman"/>
          <w:sz w:val="24"/>
          <w:szCs w:val="24"/>
        </w:rPr>
        <w:fldChar w:fldCharType="begin"/>
      </w:r>
      <w:r w:rsidR="00F62945" w:rsidRPr="005576E1">
        <w:rPr>
          <w:rFonts w:ascii="Times New Roman" w:hAnsi="Times New Roman" w:cs="Times New Roman"/>
          <w:sz w:val="24"/>
          <w:szCs w:val="24"/>
        </w:rPr>
        <w:instrText xml:space="preserve"> ADDIN ZOTERO_ITEM CSL_CITATION {"citationID":"ffrNCEC0","properties":{"formattedCitation":"(Kane and Weber 2016)","plainCitation":"(Kane and Weber 2016)"},"citationItems":[{"id":174,"uris":["http://zotero.org/users/local/sNCqxxLT/items/M2JGPNNU"],"uri":["http://zotero.org/users/local/sNCqxxLT/items/M2JGPNNU"],"itemData":{"id":174,"type":"article-journal","title":"Municipal Investment and Property Value Appreciation in Chicago’s Tax Increment Financing Districts","container-title":"Journal of Planning Education and Research","page":"167-181","volume":"36","issue":"2","author":[{"family":"Kane","given":"Kevin"},{"family":"Weber","given":"Rachel"}],"issued":{"date-parts":[["2016"]]}}}],"schema":"https://github.com/citation-style-language/schema/raw/master/csl-citation.json"} </w:instrText>
      </w:r>
      <w:r w:rsidR="00FD6387" w:rsidRPr="005576E1">
        <w:rPr>
          <w:rFonts w:ascii="Times New Roman" w:hAnsi="Times New Roman" w:cs="Times New Roman"/>
          <w:sz w:val="24"/>
          <w:szCs w:val="24"/>
        </w:rPr>
        <w:fldChar w:fldCharType="separate"/>
      </w:r>
      <w:r w:rsidR="00F62945" w:rsidRPr="005576E1">
        <w:rPr>
          <w:rFonts w:ascii="Times New Roman" w:hAnsi="Times New Roman" w:cs="Times New Roman"/>
          <w:sz w:val="24"/>
          <w:szCs w:val="24"/>
        </w:rPr>
        <w:t>Kane and Weber (2016)</w:t>
      </w:r>
      <w:r w:rsidR="00FD6387" w:rsidRPr="005576E1">
        <w:rPr>
          <w:rFonts w:ascii="Times New Roman" w:hAnsi="Times New Roman" w:cs="Times New Roman"/>
          <w:sz w:val="24"/>
          <w:szCs w:val="24"/>
        </w:rPr>
        <w:fldChar w:fldCharType="end"/>
      </w:r>
      <w:r w:rsidR="00FD6387" w:rsidRPr="005576E1">
        <w:rPr>
          <w:rFonts w:ascii="Times New Roman" w:hAnsi="Times New Roman" w:cs="Times New Roman"/>
          <w:sz w:val="24"/>
          <w:szCs w:val="24"/>
        </w:rPr>
        <w:t xml:space="preserve"> </w:t>
      </w:r>
      <w:r w:rsidR="004033D8" w:rsidRPr="005576E1">
        <w:rPr>
          <w:rFonts w:ascii="Times New Roman" w:hAnsi="Times New Roman" w:cs="Times New Roman"/>
          <w:sz w:val="24"/>
          <w:szCs w:val="24"/>
        </w:rPr>
        <w:t xml:space="preserve">included data on TIF spending to examine the effects of TIF on property value change in Chicago based on the type of publicly funded expenditures made under the designation of TIF. These expenditures range from developer subsidies to infrastructure to job training programs. This study revealed TIF expenditures to be generally poor predictors of property value change, suggesting a more symbolic than substantive value of TIF. However, the degree to which TIF affects property value varies by the type and timing of the expenditures, with subsidies for commercial and residential projects and community development being most quickly capitalized into property values. </w:t>
      </w:r>
      <w:r w:rsidR="00F62945" w:rsidRPr="005576E1">
        <w:rPr>
          <w:rFonts w:ascii="Times New Roman" w:hAnsi="Times New Roman" w:cs="Times New Roman"/>
          <w:sz w:val="24"/>
          <w:szCs w:val="24"/>
        </w:rPr>
        <w:fldChar w:fldCharType="begin"/>
      </w:r>
      <w:r w:rsidR="00F62945" w:rsidRPr="005576E1">
        <w:rPr>
          <w:rFonts w:ascii="Times New Roman" w:hAnsi="Times New Roman" w:cs="Times New Roman"/>
          <w:sz w:val="24"/>
          <w:szCs w:val="24"/>
        </w:rPr>
        <w:instrText xml:space="preserve"> ADDIN ZOTERO_ITEM CSL_CITATION {"citationID":"aNPrAWPt","properties":{"formattedCitation":"(Hicks, Faulk, and Quirin 2015)","plainCitation":"(Hicks, Faulk, and Quirin 2015)"},"citationItems":[{"id":173,"uris":["http://zotero.org/users/local/sNCqxxLT/items/6ITSJK66"],"uri":["http://zotero.org/users/local/sNCqxxLT/items/6ITSJK66"],"itemData":{"id":173,"type":"article","title":"Some Economic Effects of Tax Increment Financing in Indiana","publisher":"Ball State University Center for Business and Economic Research","author":[{"family":"Hicks","given":"MJ"},{"family":"Faulk","given":"Dagney"},{"family":"Quirin","given":"Pam"}],"issued":{"date-parts":[["2015"]]}}}],"schema":"https://github.com/citation-style-language/schema/raw/master/csl-citation.json"} </w:instrText>
      </w:r>
      <w:r w:rsidR="00F62945" w:rsidRPr="005576E1">
        <w:rPr>
          <w:rFonts w:ascii="Times New Roman" w:hAnsi="Times New Roman" w:cs="Times New Roman"/>
          <w:sz w:val="24"/>
          <w:szCs w:val="24"/>
        </w:rPr>
        <w:fldChar w:fldCharType="separate"/>
      </w:r>
      <w:r w:rsidR="00F62945" w:rsidRPr="005576E1">
        <w:rPr>
          <w:rFonts w:ascii="Times New Roman" w:hAnsi="Times New Roman" w:cs="Times New Roman"/>
          <w:sz w:val="24"/>
          <w:szCs w:val="24"/>
        </w:rPr>
        <w:t>Hicks, Faulk, and Quirin (2015)</w:t>
      </w:r>
      <w:r w:rsidR="00F62945" w:rsidRPr="005576E1">
        <w:rPr>
          <w:rFonts w:ascii="Times New Roman" w:hAnsi="Times New Roman" w:cs="Times New Roman"/>
          <w:sz w:val="24"/>
          <w:szCs w:val="24"/>
        </w:rPr>
        <w:fldChar w:fldCharType="end"/>
      </w:r>
      <w:r w:rsidR="00505F4F" w:rsidRPr="005576E1">
        <w:rPr>
          <w:rFonts w:ascii="Times New Roman" w:hAnsi="Times New Roman" w:cs="Times New Roman"/>
          <w:sz w:val="24"/>
          <w:szCs w:val="24"/>
        </w:rPr>
        <w:t xml:space="preserve"> compared</w:t>
      </w:r>
      <w:r w:rsidR="004033D8" w:rsidRPr="005576E1">
        <w:rPr>
          <w:rFonts w:ascii="Times New Roman" w:hAnsi="Times New Roman" w:cs="Times New Roman"/>
          <w:sz w:val="24"/>
          <w:szCs w:val="24"/>
        </w:rPr>
        <w:t xml:space="preserve"> TIF and non-TIF districts within Indiana counties from 2003-2012. They found that TIF districts were associated with a small but pos</w:t>
      </w:r>
      <w:r w:rsidR="00505F4F" w:rsidRPr="005576E1">
        <w:rPr>
          <w:rFonts w:ascii="Times New Roman" w:hAnsi="Times New Roman" w:cs="Times New Roman"/>
          <w:sz w:val="24"/>
          <w:szCs w:val="24"/>
        </w:rPr>
        <w:t>itive increase in assessed valuation</w:t>
      </w:r>
      <w:r w:rsidR="004033D8" w:rsidRPr="005576E1">
        <w:rPr>
          <w:rFonts w:ascii="Times New Roman" w:hAnsi="Times New Roman" w:cs="Times New Roman"/>
          <w:sz w:val="24"/>
          <w:szCs w:val="24"/>
        </w:rPr>
        <w:t xml:space="preserve"> but negatively associated with employment, number of business establishments, and sales tax revenue.</w:t>
      </w:r>
    </w:p>
    <w:p w14:paraId="04A27E0B" w14:textId="77777777" w:rsidR="00055AA2" w:rsidRPr="005576E1" w:rsidRDefault="00055AA2" w:rsidP="00B77519">
      <w:pPr>
        <w:spacing w:line="480" w:lineRule="auto"/>
        <w:ind w:left="0"/>
        <w:rPr>
          <w:rFonts w:ascii="Times New Roman" w:hAnsi="Times New Roman" w:cs="Times New Roman"/>
          <w:spacing w:val="1"/>
        </w:rPr>
      </w:pPr>
    </w:p>
    <w:p w14:paraId="68CA2A69" w14:textId="520FF8E2" w:rsidR="004033D8"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lastRenderedPageBreak/>
        <w:t>3</w:t>
      </w:r>
      <w:r w:rsidR="00886D91" w:rsidRPr="005576E1">
        <w:rPr>
          <w:rFonts w:ascii="Times New Roman" w:hAnsi="Times New Roman" w:cs="Times New Roman"/>
          <w:color w:val="auto"/>
        </w:rPr>
        <w:t>.</w:t>
      </w:r>
      <w:r w:rsidR="003456DF" w:rsidRPr="005576E1">
        <w:rPr>
          <w:rFonts w:ascii="Times New Roman" w:hAnsi="Times New Roman" w:cs="Times New Roman"/>
          <w:color w:val="auto"/>
        </w:rPr>
        <w:t xml:space="preserve">2 </w:t>
      </w:r>
      <w:r w:rsidR="004033D8" w:rsidRPr="005576E1">
        <w:rPr>
          <w:rFonts w:ascii="Times New Roman" w:hAnsi="Times New Roman" w:cs="Times New Roman"/>
          <w:color w:val="auto"/>
        </w:rPr>
        <w:t>Previous work on TIF in Missouri</w:t>
      </w:r>
    </w:p>
    <w:p w14:paraId="2EC9E3C0" w14:textId="0DD40866" w:rsidR="004033D8" w:rsidRPr="001559DB" w:rsidRDefault="004033D8" w:rsidP="005576E1">
      <w:pPr>
        <w:autoSpaceDE w:val="0"/>
        <w:autoSpaceDN w:val="0"/>
        <w:adjustRightInd w:val="0"/>
        <w:spacing w:line="480" w:lineRule="auto"/>
        <w:ind w:left="0" w:firstLine="720"/>
        <w:rPr>
          <w:rFonts w:ascii="Times New Roman" w:hAnsi="Times New Roman" w:cs="Times New Roman"/>
        </w:rPr>
      </w:pPr>
      <w:r w:rsidRPr="001559DB">
        <w:rPr>
          <w:rFonts w:ascii="Times New Roman" w:hAnsi="Times New Roman" w:cs="Times New Roman"/>
        </w:rPr>
        <w:t xml:space="preserve">Though </w:t>
      </w:r>
      <w:r w:rsidR="00755333" w:rsidRPr="001559DB">
        <w:rPr>
          <w:rFonts w:ascii="Times New Roman" w:hAnsi="Times New Roman" w:cs="Times New Roman"/>
        </w:rPr>
        <w:t>short-term</w:t>
      </w:r>
      <w:r w:rsidRPr="001559DB">
        <w:rPr>
          <w:rFonts w:ascii="Times New Roman" w:hAnsi="Times New Roman" w:cs="Times New Roman"/>
        </w:rPr>
        <w:t xml:space="preserve"> effects of TIFs may be positive, there is little evidence to date to support the claim that they have contributed to overall regional economic growth. Most work to date has focused on </w:t>
      </w:r>
      <w:r w:rsidR="005576E1" w:rsidRPr="001559DB">
        <w:rPr>
          <w:rFonts w:ascii="Times New Roman" w:hAnsi="Times New Roman" w:cs="Times New Roman"/>
        </w:rPr>
        <w:t>Saint Louis</w:t>
      </w:r>
      <w:r w:rsidRPr="001559DB">
        <w:rPr>
          <w:rFonts w:ascii="Times New Roman" w:hAnsi="Times New Roman" w:cs="Times New Roman"/>
        </w:rPr>
        <w:t xml:space="preserve">. In 2011, the East-West Gateway Council of Governments issued a report on the impact of development incentives in the </w:t>
      </w:r>
      <w:r w:rsidR="005576E1" w:rsidRPr="001559DB">
        <w:rPr>
          <w:rFonts w:ascii="Times New Roman" w:hAnsi="Times New Roman" w:cs="Times New Roman"/>
        </w:rPr>
        <w:t>Saint Louis</w:t>
      </w:r>
      <w:r w:rsidRPr="001559DB">
        <w:rPr>
          <w:rFonts w:ascii="Times New Roman" w:hAnsi="Times New Roman" w:cs="Times New Roman"/>
        </w:rPr>
        <w:t xml:space="preserve"> region, with particular attention on the use of tax increment financing</w:t>
      </w:r>
      <w:r w:rsidR="00240FF3" w:rsidRPr="001559DB">
        <w:rPr>
          <w:rFonts w:ascii="Times New Roman" w:hAnsi="Times New Roman" w:cs="Times New Roman"/>
        </w:rPr>
        <w:t xml:space="preserve"> </w:t>
      </w:r>
      <w:r w:rsidR="00240FF3" w:rsidRPr="001559DB">
        <w:rPr>
          <w:rFonts w:ascii="Times New Roman" w:hAnsi="Times New Roman" w:cs="Times New Roman"/>
        </w:rPr>
        <w:fldChar w:fldCharType="begin"/>
      </w:r>
      <w:r w:rsidR="00240FF3" w:rsidRPr="001559DB">
        <w:rPr>
          <w:rFonts w:ascii="Times New Roman" w:hAnsi="Times New Roman" w:cs="Times New Roman"/>
        </w:rPr>
        <w:instrText xml:space="preserve"> ADDIN ZOTERO_ITEM CSL_CITATION {"citationID":"ZHbagYsx","properties":{"formattedCitation":"(Council of Governments 2011)","plainCitation":"(Council of Governments 2011)"},"citationItems":[{"id":168,"uris":["http://zotero.org/users/local/sNCqxxLT/items/X5CGKUDH"],"uri":["http://zotero.org/users/local/sNCqxxLT/items/X5CGKUDH"],"itemData":{"id":168,"type":"article","title":"An Assessment of the Effectiveness and Fiscal Impacts of the Use of Local Development Incentives in the St. Louis Region: Final Report 35","publisher":"East-West Gateway","URL":"http://www.ewgateway.org/wp-content/uploads/2017/08/TIFFinalRpt.pdf","author":[{"family":"Council of Governments","given":""}],"issued":{"date-parts":[["2011"]]}}}],"schema":"https://github.com/citation-style-language/schema/raw/master/csl-citation.json"} </w:instrText>
      </w:r>
      <w:r w:rsidR="00240FF3" w:rsidRPr="001559DB">
        <w:rPr>
          <w:rFonts w:ascii="Times New Roman" w:hAnsi="Times New Roman" w:cs="Times New Roman"/>
        </w:rPr>
        <w:fldChar w:fldCharType="separate"/>
      </w:r>
      <w:r w:rsidR="00240FF3" w:rsidRPr="001559DB">
        <w:rPr>
          <w:rFonts w:ascii="Times New Roman" w:hAnsi="Times New Roman" w:cs="Times New Roman"/>
        </w:rPr>
        <w:t>(Council of Governments 2011)</w:t>
      </w:r>
      <w:r w:rsidR="00240FF3" w:rsidRPr="001559DB">
        <w:rPr>
          <w:rFonts w:ascii="Times New Roman" w:hAnsi="Times New Roman" w:cs="Times New Roman"/>
        </w:rPr>
        <w:fldChar w:fldCharType="end"/>
      </w:r>
      <w:r w:rsidRPr="001559DB">
        <w:rPr>
          <w:rFonts w:ascii="Times New Roman" w:hAnsi="Times New Roman" w:cs="Times New Roman"/>
        </w:rPr>
        <w:t>.  Examining TIF activity through 2009 with a mix of quantitative and qualitative methods, the report finds that the over $2 billion diverted as subsidies for tax increment financing, largely for retail developments,</w:t>
      </w:r>
      <w:r w:rsidRPr="008227D3">
        <w:rPr>
          <w:rStyle w:val="FootnoteReference"/>
        </w:rPr>
        <w:footnoteReference w:id="8"/>
      </w:r>
      <w:r w:rsidRPr="001559DB">
        <w:rPr>
          <w:rFonts w:ascii="Times New Roman" w:hAnsi="Times New Roman" w:cs="Times New Roman"/>
          <w:position w:val="8"/>
        </w:rPr>
        <w:t xml:space="preserve"> </w:t>
      </w:r>
      <w:r w:rsidRPr="001559DB">
        <w:rPr>
          <w:rFonts w:ascii="Times New Roman" w:hAnsi="Times New Roman" w:cs="Times New Roman"/>
        </w:rPr>
        <w:t>were ineffective in increasing regional sales tax revenue or in producing a significant increase in quality jobs.</w:t>
      </w:r>
    </w:p>
    <w:p w14:paraId="48F71E91" w14:textId="26484982" w:rsidR="004033D8" w:rsidRPr="001559DB" w:rsidRDefault="004033D8" w:rsidP="005576E1">
      <w:pPr>
        <w:spacing w:line="480" w:lineRule="auto"/>
        <w:ind w:left="0" w:firstLine="720"/>
        <w:rPr>
          <w:rFonts w:ascii="Times New Roman" w:hAnsi="Times New Roman" w:cs="Times New Roman"/>
        </w:rPr>
      </w:pPr>
      <w:r w:rsidRPr="001559DB">
        <w:rPr>
          <w:rFonts w:ascii="Times New Roman" w:hAnsi="Times New Roman" w:cs="Times New Roman"/>
        </w:rPr>
        <w:t>In 2015, Saint Louis University Center for Sustainability</w:t>
      </w:r>
      <w:r w:rsidR="00240FF3" w:rsidRPr="001559DB">
        <w:rPr>
          <w:rFonts w:ascii="Times New Roman" w:hAnsi="Times New Roman" w:cs="Times New Roman"/>
        </w:rPr>
        <w:t xml:space="preserve"> </w:t>
      </w:r>
      <w:r w:rsidR="00240FF3" w:rsidRPr="001559DB">
        <w:rPr>
          <w:rFonts w:ascii="Times New Roman" w:hAnsi="Times New Roman" w:cs="Times New Roman"/>
        </w:rPr>
        <w:fldChar w:fldCharType="begin"/>
      </w:r>
      <w:r w:rsidR="00240FF3" w:rsidRPr="001559DB">
        <w:rPr>
          <w:rFonts w:ascii="Times New Roman" w:hAnsi="Times New Roman" w:cs="Times New Roman"/>
        </w:rPr>
        <w:instrText xml:space="preserve"> ADDIN ZOTERO_ITEM CSL_CITATION {"citationID":"WrngK7wb","properties":{"formattedCitation":"(Coffin 2015)","plainCitation":"(Coffin 2015)"},"citationItems":[{"id":165,"uris":["http://zotero.org/users/local/sNCqxxLT/items/SNGGSQQ3"],"uri":["http://zotero.org/users/local/sNCqxxLT/items/SNGGSQQ3"],"itemData":{"id":165,"type":"article","title":"Tax Increment Financing in St Louis County, 2000-2012","publisher":"Applied Research Collaborative","URL":"https://pprc.umsl.edu/pprc.umsl.edu/data/tif-legislative.pdf","author":[{"family":"Coffin","given":"Sarah"}],"issued":{"date-parts":[["2015"]]}}}],"schema":"https://github.com/citation-style-language/schema/raw/master/csl-citation.json"} </w:instrText>
      </w:r>
      <w:r w:rsidR="00240FF3" w:rsidRPr="001559DB">
        <w:rPr>
          <w:rFonts w:ascii="Times New Roman" w:hAnsi="Times New Roman" w:cs="Times New Roman"/>
        </w:rPr>
        <w:fldChar w:fldCharType="separate"/>
      </w:r>
      <w:r w:rsidR="00240FF3" w:rsidRPr="001559DB">
        <w:rPr>
          <w:rFonts w:ascii="Times New Roman" w:hAnsi="Times New Roman" w:cs="Times New Roman"/>
        </w:rPr>
        <w:t>(Coffin 2015)</w:t>
      </w:r>
      <w:r w:rsidR="00240FF3" w:rsidRPr="001559DB">
        <w:rPr>
          <w:rFonts w:ascii="Times New Roman" w:hAnsi="Times New Roman" w:cs="Times New Roman"/>
        </w:rPr>
        <w:fldChar w:fldCharType="end"/>
      </w:r>
      <w:r w:rsidRPr="001559DB">
        <w:rPr>
          <w:rFonts w:ascii="Times New Roman" w:hAnsi="Times New Roman" w:cs="Times New Roman"/>
        </w:rPr>
        <w:t xml:space="preserve"> published a descriptive study examining spatial patterns of economic and racial isolation from to evaluate the impact TIF was having on patterns of neighborhood distress using data from 2000-2012. The study specifically examines the spatial distribution of a distress index by municipality in order to answer the question of whether or not the use of TIFs were driving investment to the more distressed communities in the region.</w:t>
      </w:r>
    </w:p>
    <w:p w14:paraId="37281C5E" w14:textId="63A4A472" w:rsidR="005C4FBD"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3</w:t>
      </w:r>
      <w:r w:rsidR="003456DF" w:rsidRPr="005576E1">
        <w:rPr>
          <w:rFonts w:ascii="Times New Roman" w:hAnsi="Times New Roman" w:cs="Times New Roman"/>
          <w:color w:val="auto"/>
        </w:rPr>
        <w:t xml:space="preserve">.3 </w:t>
      </w:r>
      <w:r w:rsidR="005C4FBD" w:rsidRPr="005576E1">
        <w:rPr>
          <w:rFonts w:ascii="Times New Roman" w:hAnsi="Times New Roman" w:cs="Times New Roman"/>
          <w:color w:val="auto"/>
        </w:rPr>
        <w:t xml:space="preserve">TIF </w:t>
      </w:r>
      <w:r w:rsidR="003456DF" w:rsidRPr="005576E1">
        <w:rPr>
          <w:rFonts w:ascii="Times New Roman" w:hAnsi="Times New Roman" w:cs="Times New Roman"/>
          <w:color w:val="auto"/>
        </w:rPr>
        <w:t xml:space="preserve">in </w:t>
      </w:r>
      <w:r w:rsidR="004F0B9C" w:rsidRPr="005576E1">
        <w:rPr>
          <w:rFonts w:ascii="Times New Roman" w:hAnsi="Times New Roman" w:cs="Times New Roman"/>
          <w:color w:val="auto"/>
        </w:rPr>
        <w:t>Saint Louis and Kansas City</w:t>
      </w:r>
    </w:p>
    <w:p w14:paraId="3AD7E156" w14:textId="7AFD601C" w:rsidR="001355CE" w:rsidRPr="005576E1" w:rsidRDefault="005C4FBD" w:rsidP="001559DB">
      <w:pPr>
        <w:spacing w:line="480" w:lineRule="auto"/>
        <w:ind w:left="0" w:firstLine="720"/>
        <w:rPr>
          <w:rFonts w:ascii="Times New Roman" w:hAnsi="Times New Roman" w:cs="Times New Roman"/>
        </w:rPr>
        <w:sectPr w:rsidR="001355CE" w:rsidRPr="005576E1" w:rsidSect="00B77519">
          <w:footerReference w:type="default" r:id="rId8"/>
          <w:pgSz w:w="12240" w:h="15840"/>
          <w:pgMar w:top="1440" w:right="1440" w:bottom="1440" w:left="1440" w:header="720" w:footer="720" w:gutter="0"/>
          <w:pgNumType w:start="0"/>
          <w:cols w:space="720"/>
          <w:titlePg/>
          <w:docGrid w:linePitch="360"/>
        </w:sectPr>
      </w:pPr>
      <w:r w:rsidRPr="001559DB">
        <w:rPr>
          <w:rFonts w:ascii="Times New Roman" w:hAnsi="Times New Roman" w:cs="Times New Roman"/>
          <w:szCs w:val="24"/>
        </w:rPr>
        <w:t xml:space="preserve">In defining the redevelopment plan, the municipality is responsible for the designation of the redevelopment area. The Missouri TIF Act permits different redevelopment projects within the redevelopment area (pursuant to the same redevelopment plan) to be undertaken therefore the redevelopment area must contain a blighted area, a conservation area, an economic development area, or any combination thereof. </w:t>
      </w:r>
      <w:r w:rsidR="005D15B9" w:rsidRPr="001559DB">
        <w:rPr>
          <w:rFonts w:ascii="Times New Roman" w:hAnsi="Times New Roman" w:cs="Times New Roman"/>
          <w:szCs w:val="24"/>
        </w:rPr>
        <w:t xml:space="preserve">In Kansas City, a total of 80 TIF districts were designated with the first project implemented in 1998. In </w:t>
      </w:r>
      <w:r w:rsidR="005576E1" w:rsidRPr="001559DB">
        <w:rPr>
          <w:rFonts w:ascii="Times New Roman" w:hAnsi="Times New Roman" w:cs="Times New Roman"/>
          <w:szCs w:val="24"/>
        </w:rPr>
        <w:t>Saint Louis</w:t>
      </w:r>
      <w:r w:rsidR="005D15B9" w:rsidRPr="001559DB">
        <w:rPr>
          <w:rFonts w:ascii="Times New Roman" w:hAnsi="Times New Roman" w:cs="Times New Roman"/>
          <w:szCs w:val="24"/>
        </w:rPr>
        <w:t xml:space="preserve">, the first TIF was designated in 1991 and there have been over 160 TIF project implementations since. </w:t>
      </w:r>
      <w:r w:rsidR="00581754" w:rsidRPr="001559DB">
        <w:rPr>
          <w:rFonts w:ascii="Times New Roman" w:hAnsi="Times New Roman" w:cs="Times New Roman"/>
          <w:szCs w:val="24"/>
        </w:rPr>
        <w:t xml:space="preserve">In </w:t>
      </w:r>
      <w:r w:rsidR="005576E1" w:rsidRPr="001559DB">
        <w:rPr>
          <w:rFonts w:ascii="Times New Roman" w:hAnsi="Times New Roman" w:cs="Times New Roman"/>
          <w:szCs w:val="24"/>
        </w:rPr>
        <w:t>Saint Louis</w:t>
      </w:r>
      <w:r w:rsidR="00581754" w:rsidRPr="001559DB">
        <w:rPr>
          <w:rFonts w:ascii="Times New Roman" w:hAnsi="Times New Roman" w:cs="Times New Roman"/>
          <w:szCs w:val="24"/>
        </w:rPr>
        <w:t>, the redevelopment areas are bounded properties. Specifically, the area ``includes only those parcels of real property directly benefitting from the project.”</w:t>
      </w:r>
      <w:r w:rsidR="005D15B9" w:rsidRPr="001559DB">
        <w:rPr>
          <w:rFonts w:ascii="Times New Roman" w:hAnsi="Times New Roman" w:cs="Times New Roman"/>
          <w:szCs w:val="24"/>
        </w:rPr>
        <w:t xml:space="preserve"> How this difference affects the estimation is discussed subsequently in the methodology section.</w:t>
      </w:r>
      <w:r w:rsidR="00C52E0A" w:rsidRPr="001559DB">
        <w:rPr>
          <w:rFonts w:ascii="Times New Roman" w:hAnsi="Times New Roman" w:cs="Times New Roman"/>
          <w:szCs w:val="24"/>
        </w:rPr>
        <w:t xml:space="preserve"> </w:t>
      </w:r>
      <w:r w:rsidR="00292913" w:rsidRPr="001559DB">
        <w:rPr>
          <w:rFonts w:ascii="Times New Roman" w:hAnsi="Times New Roman" w:cs="Times New Roman"/>
          <w:szCs w:val="24"/>
        </w:rPr>
        <w:t xml:space="preserve">See </w:t>
      </w:r>
      <w:r w:rsidR="00292913" w:rsidRPr="001559DB">
        <w:rPr>
          <w:rFonts w:ascii="Times New Roman" w:hAnsi="Times New Roman" w:cs="Times New Roman"/>
          <w:szCs w:val="24"/>
        </w:rPr>
        <w:lastRenderedPageBreak/>
        <w:t xml:space="preserve">Figures 1 and 2 for maps of TIF districts/parcels for </w:t>
      </w:r>
      <w:r w:rsidR="005576E1" w:rsidRPr="001559DB">
        <w:rPr>
          <w:rFonts w:ascii="Times New Roman" w:hAnsi="Times New Roman" w:cs="Times New Roman"/>
          <w:szCs w:val="24"/>
        </w:rPr>
        <w:t>Saint Louis</w:t>
      </w:r>
      <w:r w:rsidR="00292913" w:rsidRPr="001559DB">
        <w:rPr>
          <w:rFonts w:ascii="Times New Roman" w:hAnsi="Times New Roman" w:cs="Times New Roman"/>
          <w:szCs w:val="24"/>
        </w:rPr>
        <w:t xml:space="preserve"> and Kansas City. </w:t>
      </w:r>
      <w:r w:rsidR="005576E1" w:rsidRPr="001559DB">
        <w:rPr>
          <w:rFonts w:ascii="Times New Roman" w:hAnsi="Times New Roman" w:cs="Times New Roman"/>
          <w:szCs w:val="24"/>
        </w:rPr>
        <w:t xml:space="preserve"> Each </w:t>
      </w:r>
      <w:r w:rsidR="00D65C76" w:rsidRPr="001559DB">
        <w:rPr>
          <w:rFonts w:ascii="Times New Roman" w:hAnsi="Times New Roman" w:cs="Times New Roman"/>
          <w:szCs w:val="24"/>
        </w:rPr>
        <w:t>municipality also establishes a TIF commission, which reviews the redevelopment plans, keeps public informed through hearings, and makes a recommendation</w:t>
      </w:r>
      <w:r w:rsidR="00240FF3" w:rsidRPr="001559DB">
        <w:rPr>
          <w:rFonts w:ascii="Times New Roman" w:hAnsi="Times New Roman" w:cs="Times New Roman"/>
          <w:szCs w:val="24"/>
        </w:rPr>
        <w:t>.</w:t>
      </w:r>
      <w:r w:rsidR="00D65C76" w:rsidRPr="008227D3">
        <w:rPr>
          <w:rStyle w:val="FootnoteReference"/>
        </w:rPr>
        <w:footnoteReference w:id="9"/>
      </w:r>
      <w:r w:rsidR="00D65C76" w:rsidRPr="001559DB">
        <w:rPr>
          <w:rFonts w:ascii="Times New Roman" w:hAnsi="Times New Roman" w:cs="Times New Roman"/>
          <w:szCs w:val="24"/>
        </w:rPr>
        <w:t xml:space="preserve"> The municipality can still approve and move forward with the TIF if the commission votes down the plan. </w:t>
      </w:r>
    </w:p>
    <w:p w14:paraId="5C79246B" w14:textId="77777777" w:rsidR="005576E1" w:rsidRPr="005576E1" w:rsidRDefault="005E3EFB" w:rsidP="005576E1">
      <w:pPr>
        <w:pStyle w:val="Heading1"/>
        <w:rPr>
          <w:color w:val="auto"/>
        </w:rPr>
      </w:pPr>
      <w:r w:rsidRPr="005576E1">
        <w:rPr>
          <w:color w:val="auto"/>
        </w:rPr>
        <w:lastRenderedPageBreak/>
        <w:t xml:space="preserve">4. </w:t>
      </w:r>
      <w:r w:rsidR="0059442B" w:rsidRPr="005576E1">
        <w:rPr>
          <w:color w:val="auto"/>
        </w:rPr>
        <w:t>Methodology</w:t>
      </w:r>
    </w:p>
    <w:p w14:paraId="7FCF2273" w14:textId="03B46972" w:rsidR="00C12DDF" w:rsidRPr="005576E1" w:rsidRDefault="005E3EFB" w:rsidP="005576E1">
      <w:pPr>
        <w:spacing w:line="480" w:lineRule="auto"/>
        <w:ind w:left="0"/>
        <w:rPr>
          <w:rFonts w:ascii="Times New Roman" w:hAnsi="Times New Roman" w:cs="Times New Roman"/>
          <w:sz w:val="24"/>
          <w:szCs w:val="24"/>
          <w:shd w:val="clear" w:color="auto" w:fill="FFFFFF"/>
        </w:rPr>
      </w:pPr>
      <w:r w:rsidRPr="005576E1">
        <w:br/>
      </w:r>
      <w:r w:rsidR="005576E1">
        <w:rPr>
          <w:rFonts w:ascii="Times New Roman" w:hAnsi="Times New Roman" w:cs="Times New Roman"/>
          <w:sz w:val="24"/>
          <w:szCs w:val="24"/>
        </w:rPr>
        <w:t xml:space="preserve">         </w:t>
      </w:r>
      <w:r w:rsidR="005576E1" w:rsidRPr="001559DB">
        <w:rPr>
          <w:rFonts w:ascii="Times New Roman" w:hAnsi="Times New Roman" w:cs="Times New Roman"/>
          <w:szCs w:val="24"/>
        </w:rPr>
        <w:t xml:space="preserve">   </w:t>
      </w:r>
      <w:r w:rsidR="00C12DDF" w:rsidRPr="001559DB">
        <w:rPr>
          <w:rFonts w:ascii="Times New Roman" w:hAnsi="Times New Roman" w:cs="Times New Roman"/>
          <w:szCs w:val="24"/>
        </w:rPr>
        <w:t xml:space="preserve">A key goal of our analysis is to assess the impact of TIF designation on job growth and business development in local areas that receive TIF.   To do so, we want to measure </w:t>
      </w:r>
      <w:r w:rsidR="000D1F19" w:rsidRPr="001559DB">
        <w:rPr>
          <w:rFonts w:ascii="Times New Roman" w:hAnsi="Times New Roman" w:cs="Times New Roman"/>
          <w:szCs w:val="24"/>
        </w:rPr>
        <w:t>outcomes of interest, (</w:t>
      </w:r>
      <w:proofErr w:type="spellStart"/>
      <w:r w:rsidR="000D1F19" w:rsidRPr="001559DB">
        <w:rPr>
          <w:rFonts w:ascii="Times New Roman" w:hAnsi="Times New Roman" w:cs="Times New Roman"/>
          <w:szCs w:val="24"/>
        </w:rPr>
        <w:t>e.g</w:t>
      </w:r>
      <w:proofErr w:type="spellEnd"/>
      <w:r w:rsidR="000D1F19" w:rsidRPr="001559DB">
        <w:rPr>
          <w:rFonts w:ascii="Times New Roman" w:hAnsi="Times New Roman" w:cs="Times New Roman"/>
          <w:szCs w:val="24"/>
        </w:rPr>
        <w:t xml:space="preserve"> employment, sales, creation of establishments)</w:t>
      </w:r>
      <w:r w:rsidR="00C12DDF" w:rsidRPr="001559DB">
        <w:rPr>
          <w:rFonts w:ascii="Times New Roman" w:hAnsi="Times New Roman" w:cs="Times New Roman"/>
          <w:szCs w:val="24"/>
        </w:rPr>
        <w:t xml:space="preserve"> in block groups for several years before a TIF was designated and </w:t>
      </w:r>
      <w:r w:rsidR="000D1F19" w:rsidRPr="001559DB">
        <w:rPr>
          <w:rFonts w:ascii="Times New Roman" w:hAnsi="Times New Roman" w:cs="Times New Roman"/>
          <w:szCs w:val="24"/>
        </w:rPr>
        <w:t>examine</w:t>
      </w:r>
      <w:r w:rsidR="00C12DDF" w:rsidRPr="001559DB">
        <w:rPr>
          <w:rFonts w:ascii="Times New Roman" w:hAnsi="Times New Roman" w:cs="Times New Roman"/>
          <w:szCs w:val="24"/>
        </w:rPr>
        <w:t xml:space="preserve"> what happens several years after the TIF.  While this simple subtraction method is clear, it is not sufficient to conclude that the TIF “caused” any observed growth.  Thus, we make this same before and after comparison for both block groups that receive a TIF and other areas that never received a TIF.  Then we compare the observed growth over the same time period in both </w:t>
      </w:r>
      <w:proofErr w:type="spellStart"/>
      <w:r w:rsidR="00C12DDF" w:rsidRPr="001559DB">
        <w:rPr>
          <w:rFonts w:ascii="Times New Roman" w:hAnsi="Times New Roman" w:cs="Times New Roman"/>
          <w:szCs w:val="24"/>
        </w:rPr>
        <w:t>TIFed</w:t>
      </w:r>
      <w:proofErr w:type="spellEnd"/>
      <w:r w:rsidR="00C12DDF" w:rsidRPr="001559DB">
        <w:rPr>
          <w:rFonts w:ascii="Times New Roman" w:hAnsi="Times New Roman" w:cs="Times New Roman"/>
          <w:szCs w:val="24"/>
        </w:rPr>
        <w:t xml:space="preserve"> areas (i.e. treated) and non-</w:t>
      </w:r>
      <w:proofErr w:type="spellStart"/>
      <w:r w:rsidR="00C12DDF" w:rsidRPr="001559DB">
        <w:rPr>
          <w:rFonts w:ascii="Times New Roman" w:hAnsi="Times New Roman" w:cs="Times New Roman"/>
          <w:szCs w:val="24"/>
        </w:rPr>
        <w:t>TIFed</w:t>
      </w:r>
      <w:proofErr w:type="spellEnd"/>
      <w:r w:rsidR="00C12DDF" w:rsidRPr="001559DB">
        <w:rPr>
          <w:rFonts w:ascii="Times New Roman" w:hAnsi="Times New Roman" w:cs="Times New Roman"/>
          <w:szCs w:val="24"/>
        </w:rPr>
        <w:t xml:space="preserve"> (i.e. control) areas.   This methodology is referred to as difference-in-differences (</w:t>
      </w:r>
      <w:proofErr w:type="spellStart"/>
      <w:r w:rsidR="00C12DDF" w:rsidRPr="001559DB">
        <w:rPr>
          <w:rFonts w:ascii="Times New Roman" w:hAnsi="Times New Roman" w:cs="Times New Roman"/>
          <w:szCs w:val="24"/>
        </w:rPr>
        <w:t>DiD</w:t>
      </w:r>
      <w:proofErr w:type="spellEnd"/>
      <w:r w:rsidR="00C12DDF" w:rsidRPr="001559DB">
        <w:rPr>
          <w:rFonts w:ascii="Times New Roman" w:hAnsi="Times New Roman" w:cs="Times New Roman"/>
          <w:szCs w:val="24"/>
        </w:rPr>
        <w:t xml:space="preserve">).  This is the methodology used in </w:t>
      </w:r>
      <w:r w:rsidR="00F62945" w:rsidRPr="001559DB">
        <w:rPr>
          <w:rFonts w:ascii="Times New Roman" w:hAnsi="Times New Roman" w:cs="Times New Roman"/>
          <w:szCs w:val="24"/>
        </w:rPr>
        <w:fldChar w:fldCharType="begin"/>
      </w:r>
      <w:r w:rsidR="00F62945" w:rsidRPr="001559DB">
        <w:rPr>
          <w:rFonts w:ascii="Times New Roman" w:hAnsi="Times New Roman" w:cs="Times New Roman"/>
          <w:szCs w:val="24"/>
        </w:rPr>
        <w:instrText xml:space="preserve"> ADDIN ZOTERO_ITEM CSL_CITATION {"citationID":"fRAX7LEv","properties":{"formattedCitation":"(Lester 2014)","plainCitation":"(Lester 2014)"},"citationItems":[{"id":176,"uris":["http://zotero.org/users/local/sNCqxxLT/items/5BWIBNG9"],"uri":["http://zotero.org/users/local/sNCqxxLT/items/5BWIBNG9"],"itemData":{"id":176,"type":"article-journal","title":"Does Chicago’s tax increment financing (TIF) programme pass the ‘but-for’test? Job creation and economic development impacts using time-series data.","container-title":"Urban Studies","page":"655-674","volume":"51","issue":"4","author":[{"family":"Lester","given":"T. William"}],"issued":{"date-parts":[["2014"]]}}}],"schema":"https://github.com/citation-style-language/schema/raw/master/csl-citation.json"} </w:instrText>
      </w:r>
      <w:r w:rsidR="00F62945" w:rsidRPr="001559DB">
        <w:rPr>
          <w:rFonts w:ascii="Times New Roman" w:hAnsi="Times New Roman" w:cs="Times New Roman"/>
          <w:szCs w:val="24"/>
        </w:rPr>
        <w:fldChar w:fldCharType="separate"/>
      </w:r>
      <w:r w:rsidR="00F62945" w:rsidRPr="001559DB">
        <w:rPr>
          <w:rFonts w:ascii="Times New Roman" w:hAnsi="Times New Roman" w:cs="Times New Roman"/>
          <w:szCs w:val="24"/>
        </w:rPr>
        <w:t>Lester (2014)</w:t>
      </w:r>
      <w:r w:rsidR="00F62945" w:rsidRPr="001559DB">
        <w:rPr>
          <w:rFonts w:ascii="Times New Roman" w:hAnsi="Times New Roman" w:cs="Times New Roman"/>
          <w:szCs w:val="24"/>
        </w:rPr>
        <w:fldChar w:fldCharType="end"/>
      </w:r>
      <w:r w:rsidR="00072964" w:rsidRPr="001559DB">
        <w:rPr>
          <w:rFonts w:ascii="Times New Roman" w:hAnsi="Times New Roman" w:cs="Times New Roman"/>
          <w:szCs w:val="24"/>
        </w:rPr>
        <w:t xml:space="preserve"> and </w:t>
      </w:r>
      <w:r w:rsidR="00F62945" w:rsidRPr="001559DB">
        <w:rPr>
          <w:rFonts w:ascii="Times New Roman" w:hAnsi="Times New Roman" w:cs="Times New Roman"/>
          <w:szCs w:val="24"/>
        </w:rPr>
        <w:fldChar w:fldCharType="begin"/>
      </w:r>
      <w:r w:rsidR="00F62945" w:rsidRPr="001559DB">
        <w:rPr>
          <w:rFonts w:ascii="Times New Roman" w:hAnsi="Times New Roman" w:cs="Times New Roman"/>
          <w:szCs w:val="24"/>
        </w:rPr>
        <w:instrText xml:space="preserve"> ADDIN ZOTERO_ITEM CSL_CITATION {"citationID":"0W9APEYX","properties":{"formattedCitation":"(Yadavalli and Landers 2017)","plainCitation":"(Yadavalli and Landers 2017)"},"citationItems":[{"id":182,"uris":["http://zotero.org/users/local/sNCqxxLT/items/HJX6UCWZ"],"uri":["http://zotero.org/users/local/sNCqxxLT/items/HJX6UCWZ"],"itemData":{"id":182,"type":"article-journal","title":"Tax Increment Financing: A Propensity Score Approach","container-title":"Economic Development Quarterly","page":"312-325","volume":"31","issue":"4","author":[{"family":"Yadavalli","given":"Anita"},{"family":"Landers","given":"Jim"}],"issued":{"date-parts":[["2017"]]}}}],"schema":"https://github.com/citation-style-language/schema/raw/master/csl-citation.json"} </w:instrText>
      </w:r>
      <w:r w:rsidR="00F62945" w:rsidRPr="001559DB">
        <w:rPr>
          <w:rFonts w:ascii="Times New Roman" w:hAnsi="Times New Roman" w:cs="Times New Roman"/>
          <w:szCs w:val="24"/>
        </w:rPr>
        <w:fldChar w:fldCharType="separate"/>
      </w:r>
      <w:r w:rsidR="00F62945" w:rsidRPr="001559DB">
        <w:rPr>
          <w:rFonts w:ascii="Times New Roman" w:hAnsi="Times New Roman" w:cs="Times New Roman"/>
          <w:szCs w:val="24"/>
        </w:rPr>
        <w:t>Yadavalli and Landers (2017)</w:t>
      </w:r>
      <w:r w:rsidR="00F62945" w:rsidRPr="001559DB">
        <w:rPr>
          <w:rFonts w:ascii="Times New Roman" w:hAnsi="Times New Roman" w:cs="Times New Roman"/>
          <w:szCs w:val="24"/>
        </w:rPr>
        <w:fldChar w:fldCharType="end"/>
      </w:r>
      <w:r w:rsidR="00C12DDF" w:rsidRPr="001559DB">
        <w:rPr>
          <w:rFonts w:ascii="Times New Roman" w:hAnsi="Times New Roman" w:cs="Times New Roman"/>
          <w:szCs w:val="24"/>
        </w:rPr>
        <w:t xml:space="preserve"> and we follow that with some key improvements.  </w:t>
      </w:r>
    </w:p>
    <w:p w14:paraId="29491D96" w14:textId="43254B7A" w:rsidR="0059442B" w:rsidRPr="001559DB" w:rsidRDefault="005576E1" w:rsidP="005576E1">
      <w:pPr>
        <w:spacing w:line="480" w:lineRule="auto"/>
        <w:ind w:left="0" w:firstLine="720"/>
        <w:rPr>
          <w:rFonts w:ascii="Times New Roman" w:hAnsi="Times New Roman" w:cs="Times New Roman"/>
        </w:rPr>
      </w:pPr>
      <w:r w:rsidRPr="001559DB">
        <w:rPr>
          <w:rFonts w:ascii="Times New Roman" w:hAnsi="Times New Roman" w:cs="Times New Roman"/>
        </w:rPr>
        <w:t>Specifically</w:t>
      </w:r>
      <w:r w:rsidR="006F22C3" w:rsidRPr="001559DB">
        <w:rPr>
          <w:rFonts w:ascii="Times New Roman" w:hAnsi="Times New Roman" w:cs="Times New Roman"/>
        </w:rPr>
        <w:t>, t</w:t>
      </w:r>
      <w:r w:rsidR="0059442B" w:rsidRPr="001559DB">
        <w:rPr>
          <w:rFonts w:ascii="Times New Roman" w:hAnsi="Times New Roman" w:cs="Times New Roman"/>
        </w:rPr>
        <w:t>his paper uses an interrupted time-series research design to generate difference-indifferences (</w:t>
      </w:r>
      <w:proofErr w:type="spellStart"/>
      <w:r w:rsidR="0059442B" w:rsidRPr="001559DB">
        <w:rPr>
          <w:rFonts w:ascii="Times New Roman" w:hAnsi="Times New Roman" w:cs="Times New Roman"/>
        </w:rPr>
        <w:t>D</w:t>
      </w:r>
      <w:r w:rsidR="003E5B60" w:rsidRPr="001559DB">
        <w:rPr>
          <w:rFonts w:ascii="Times New Roman" w:hAnsi="Times New Roman" w:cs="Times New Roman"/>
        </w:rPr>
        <w:t>i</w:t>
      </w:r>
      <w:r w:rsidR="0059442B" w:rsidRPr="001559DB">
        <w:rPr>
          <w:rFonts w:ascii="Times New Roman" w:hAnsi="Times New Roman" w:cs="Times New Roman"/>
        </w:rPr>
        <w:t>D</w:t>
      </w:r>
      <w:proofErr w:type="spellEnd"/>
      <w:r w:rsidR="0059442B" w:rsidRPr="001559DB">
        <w:rPr>
          <w:rFonts w:ascii="Times New Roman" w:hAnsi="Times New Roman" w:cs="Times New Roman"/>
        </w:rPr>
        <w:t>) estimates that compare changes in the outcome variables in a set of treated areas relative to a control group</w:t>
      </w:r>
      <w:r w:rsidR="006F22C3" w:rsidRPr="001559DB">
        <w:rPr>
          <w:rFonts w:ascii="Times New Roman" w:hAnsi="Times New Roman" w:cs="Times New Roman"/>
        </w:rPr>
        <w:t xml:space="preserve"> at the block group level</w:t>
      </w:r>
      <w:r w:rsidR="0059442B" w:rsidRPr="001559DB">
        <w:rPr>
          <w:rFonts w:ascii="Times New Roman" w:hAnsi="Times New Roman" w:cs="Times New Roman"/>
        </w:rPr>
        <w:t xml:space="preserve">. </w:t>
      </w:r>
      <w:bookmarkStart w:id="5" w:name="_Hlk488328142"/>
      <w:bookmarkStart w:id="6" w:name="_Hlk488328319"/>
      <w:r w:rsidR="00DD372E" w:rsidRPr="001559DB">
        <w:rPr>
          <w:rFonts w:ascii="Times New Roman" w:hAnsi="Times New Roman" w:cs="Times New Roman"/>
        </w:rPr>
        <w:t xml:space="preserve">A naïve comparison of treatment and control outcomes would simply attribute the difference in outcomes between the two groups as being the effect of the treatment. This approach would ignore any initial difference in the starting points of each group therefore would potentially over-state the impact of the intervention. Assuming that both groups change the same way over time, </w:t>
      </w:r>
      <w:proofErr w:type="spellStart"/>
      <w:proofErr w:type="gramStart"/>
      <w:r w:rsidR="00DD372E" w:rsidRPr="001559DB">
        <w:rPr>
          <w:rFonts w:ascii="Times New Roman" w:hAnsi="Times New Roman" w:cs="Times New Roman"/>
        </w:rPr>
        <w:t>DiD</w:t>
      </w:r>
      <w:proofErr w:type="spellEnd"/>
      <w:proofErr w:type="gramEnd"/>
      <w:r w:rsidR="00DD372E" w:rsidRPr="001559DB">
        <w:rPr>
          <w:rFonts w:ascii="Times New Roman" w:hAnsi="Times New Roman" w:cs="Times New Roman"/>
        </w:rPr>
        <w:t xml:space="preserve"> estimation improves on th</w:t>
      </w:r>
      <w:r w:rsidR="00EC3EE4" w:rsidRPr="001559DB">
        <w:rPr>
          <w:rFonts w:ascii="Times New Roman" w:hAnsi="Times New Roman" w:cs="Times New Roman"/>
        </w:rPr>
        <w:t>e</w:t>
      </w:r>
      <w:r w:rsidR="00DD372E" w:rsidRPr="001559DB">
        <w:rPr>
          <w:rFonts w:ascii="Times New Roman" w:hAnsi="Times New Roman" w:cs="Times New Roman"/>
        </w:rPr>
        <w:t xml:space="preserve"> naïve, single difference approach by including a before and after comparison, thereby taking into account the initial difference between the two groups. The </w:t>
      </w:r>
      <w:proofErr w:type="spellStart"/>
      <w:r w:rsidR="00DD372E" w:rsidRPr="001559DB">
        <w:rPr>
          <w:rFonts w:ascii="Times New Roman" w:hAnsi="Times New Roman" w:cs="Times New Roman"/>
        </w:rPr>
        <w:t>DiD</w:t>
      </w:r>
      <w:proofErr w:type="spellEnd"/>
      <w:r w:rsidR="00DD372E" w:rsidRPr="001559DB">
        <w:rPr>
          <w:rFonts w:ascii="Times New Roman" w:hAnsi="Times New Roman" w:cs="Times New Roman"/>
        </w:rPr>
        <w:t xml:space="preserve"> estimate is therefore composed of two differences, a before-and-after comparison as well as a treatment-control comparison.</w:t>
      </w:r>
      <w:bookmarkEnd w:id="5"/>
      <w:bookmarkEnd w:id="6"/>
      <w:r w:rsidR="00EC3EE4" w:rsidRPr="001559DB">
        <w:rPr>
          <w:rFonts w:ascii="Times New Roman" w:hAnsi="Times New Roman" w:cs="Times New Roman"/>
        </w:rPr>
        <w:t xml:space="preserve"> </w:t>
      </w:r>
      <w:r w:rsidR="0059442B" w:rsidRPr="001559DB">
        <w:rPr>
          <w:rFonts w:ascii="Times New Roman" w:hAnsi="Times New Roman" w:cs="Times New Roman"/>
        </w:rPr>
        <w:t>In this framework, we</w:t>
      </w:r>
      <w:r w:rsidR="006F22C3" w:rsidRPr="001559DB">
        <w:rPr>
          <w:rFonts w:ascii="Times New Roman" w:hAnsi="Times New Roman" w:cs="Times New Roman"/>
        </w:rPr>
        <w:t xml:space="preserve"> first</w:t>
      </w:r>
      <w:r w:rsidR="0059442B" w:rsidRPr="001559DB">
        <w:rPr>
          <w:rFonts w:ascii="Times New Roman" w:hAnsi="Times New Roman" w:cs="Times New Roman"/>
        </w:rPr>
        <w:t xml:space="preserve"> examine the impact of TIF designation</w:t>
      </w:r>
      <w:r w:rsidR="006F22C3" w:rsidRPr="001559DB">
        <w:rPr>
          <w:rFonts w:ascii="Times New Roman" w:hAnsi="Times New Roman" w:cs="Times New Roman"/>
        </w:rPr>
        <w:t>.</w:t>
      </w:r>
      <w:r w:rsidR="001E431E" w:rsidRPr="001559DB">
        <w:rPr>
          <w:rFonts w:ascii="Times New Roman" w:hAnsi="Times New Roman" w:cs="Times New Roman"/>
        </w:rPr>
        <w:t xml:space="preserve"> </w:t>
      </w:r>
      <w:r w:rsidR="0059442B" w:rsidRPr="001559DB">
        <w:rPr>
          <w:rFonts w:ascii="Times New Roman" w:hAnsi="Times New Roman" w:cs="Times New Roman"/>
        </w:rPr>
        <w:t xml:space="preserve">Equation (1) summarizes the basic modelling approach to measure the impact of TIF designation </w:t>
      </w:r>
    </w:p>
    <w:p w14:paraId="7500C739" w14:textId="77777777" w:rsidR="0059442B" w:rsidRPr="005576E1" w:rsidRDefault="0059442B" w:rsidP="00B77519">
      <w:pPr>
        <w:spacing w:line="480" w:lineRule="auto"/>
        <w:ind w:left="0"/>
        <w:rPr>
          <w:rFonts w:ascii="Times New Roman" w:hAnsi="Times New Roman" w:cs="Times New Roman"/>
        </w:rPr>
      </w:pPr>
    </w:p>
    <w:p w14:paraId="39E7DDB4" w14:textId="24764698" w:rsidR="0059442B" w:rsidRPr="005576E1" w:rsidRDefault="001559DB" w:rsidP="008A6722">
      <w:pPr>
        <w:spacing w:line="480" w:lineRule="auto"/>
        <w:ind w:left="0"/>
        <w:jc w:val="center"/>
        <w:rPr>
          <w:rFonts w:ascii="Times New Roman" w:eastAsiaTheme="minorEastAsia" w:hAnsi="Times New Roman" w:cs="Times New Roman"/>
        </w:rPr>
      </w:pPr>
      <m:oMathPara>
        <m:oMath>
          <m:r>
            <w:rPr>
              <w:rFonts w:ascii="Cambria Math" w:hAnsi="Cambria Math" w:cs="Times New Roman"/>
            </w:rPr>
            <m:t xml:space="preserve">[1]                </m:t>
          </m:r>
          <m:sSub>
            <m:sSubPr>
              <m:ctrlPr>
                <w:rPr>
                  <w:rFonts w:ascii="Cambria Math" w:hAnsi="Cambria Math" w:cs="Times New Roman"/>
                  <w:i/>
                </w:rPr>
              </m:ctrlPr>
            </m:sSubPr>
            <m:e>
              <m:r>
                <w:rPr>
                  <w:rFonts w:ascii="Cambria Math" w:hAnsi="Cambria Math" w:cs="Times New Roman"/>
                </w:rPr>
                <m:t>ln(y</m:t>
              </m:r>
            </m:e>
            <m:sub>
              <m:r>
                <w:rPr>
                  <w:rFonts w:ascii="Cambria Math" w:hAnsi="Cambria Math" w:cs="Times New Roman"/>
                </w:rPr>
                <m:t>it</m:t>
              </m:r>
            </m:sub>
          </m:sSub>
          <m:r>
            <w:rPr>
              <w:rFonts w:ascii="Cambria Math" w:hAnsi="Cambria Math" w:cs="Times New Roman"/>
            </w:rPr>
            <m:t>)</m:t>
          </m:r>
          <m:r>
            <m:rPr>
              <m:nor/>
            </m:rPr>
            <w:rPr>
              <w:rFonts w:ascii="Times New Roman" w:hAnsi="Times New Roman" w:cs="Times New Roman"/>
              <w:i/>
            </w:rPr>
            <m:t>=</m:t>
          </m:r>
          <m:r>
            <w:rPr>
              <w:rFonts w:ascii="Cambria Math" w:hAnsi="Cambria Math" w:cs="Times New Roman"/>
            </w:rPr>
            <m:t xml:space="preserve"> β</m:t>
          </m:r>
          <m:sSub>
            <m:sSubPr>
              <m:ctrlPr>
                <w:rPr>
                  <w:rFonts w:ascii="Cambria Math" w:hAnsi="Cambria Math" w:cs="Times New Roman"/>
                  <w:i/>
                </w:rPr>
              </m:ctrlPr>
            </m:sSubPr>
            <m:e>
              <m:r>
                <w:rPr>
                  <w:rFonts w:ascii="Cambria Math" w:hAnsi="Cambria Math" w:cs="Times New Roman"/>
                </w:rPr>
                <m:t>TIF</m:t>
              </m:r>
            </m:e>
            <m:sub>
              <m:r>
                <w:rPr>
                  <w:rFonts w:ascii="Cambria Math" w:hAnsi="Cambria Math" w:cs="Times New Roman"/>
                </w:rPr>
                <m:t>it</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δ</m:t>
              </m:r>
            </m:e>
            <m:sub>
              <m:r>
                <w:rPr>
                  <w:rFonts w:ascii="Cambria Math" w:hAnsi="Cambria Math" w:cs="Times New Roman"/>
                </w:rPr>
                <m:t>t</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it</m:t>
              </m:r>
            </m:sub>
          </m:sSub>
        </m:oMath>
      </m:oMathPara>
    </w:p>
    <w:p w14:paraId="0F310FF2" w14:textId="77777777" w:rsidR="009539B0" w:rsidRPr="005576E1" w:rsidRDefault="009539B0" w:rsidP="00B77519">
      <w:pPr>
        <w:spacing w:line="480" w:lineRule="auto"/>
        <w:ind w:left="0"/>
        <w:rPr>
          <w:rFonts w:ascii="Times New Roman" w:eastAsiaTheme="minorEastAsia" w:hAnsi="Times New Roman" w:cs="Times New Roman"/>
        </w:rPr>
      </w:pPr>
    </w:p>
    <w:p w14:paraId="683D6A50" w14:textId="5A836A8B" w:rsidR="0059442B" w:rsidRPr="005576E1" w:rsidRDefault="006F22C3" w:rsidP="00B77519">
      <w:pPr>
        <w:spacing w:line="480" w:lineRule="auto"/>
        <w:ind w:left="0"/>
        <w:rPr>
          <w:rFonts w:ascii="Times New Roman" w:hAnsi="Times New Roman" w:cs="Times New Roman"/>
        </w:rPr>
      </w:pPr>
      <w:r w:rsidRPr="005576E1">
        <w:rPr>
          <w:rFonts w:ascii="Times New Roman" w:eastAsiaTheme="minorEastAsia" w:hAnsi="Times New Roman" w:cs="Times New Roman"/>
        </w:rPr>
        <w:t>The</w:t>
      </w:r>
      <w:r w:rsidR="0059442B" w:rsidRPr="005576E1">
        <w:rPr>
          <w:rFonts w:ascii="Times New Roman" w:hAnsi="Times New Roman" w:cs="Times New Roman"/>
        </w:rPr>
        <w:t xml:space="preserve"> natural log of the outcome, </w:t>
      </w:r>
      <w:proofErr w:type="spellStart"/>
      <w:r w:rsidR="0059442B" w:rsidRPr="005576E1">
        <w:rPr>
          <w:rFonts w:ascii="Times New Roman" w:hAnsi="Times New Roman" w:cs="Times New Roman"/>
          <w:i/>
          <w:iCs/>
        </w:rPr>
        <w:t>y</w:t>
      </w:r>
      <w:r w:rsidR="0059442B" w:rsidRPr="005576E1">
        <w:rPr>
          <w:rFonts w:ascii="Times New Roman" w:hAnsi="Times New Roman" w:cs="Times New Roman"/>
          <w:i/>
          <w:iCs/>
          <w:vertAlign w:val="subscript"/>
        </w:rPr>
        <w:t>it</w:t>
      </w:r>
      <w:proofErr w:type="spellEnd"/>
      <w:r w:rsidR="0059442B" w:rsidRPr="005576E1">
        <w:rPr>
          <w:rFonts w:ascii="Times New Roman" w:hAnsi="Times New Roman" w:cs="Times New Roman"/>
        </w:rPr>
        <w:t xml:space="preserve">, is regressed on an indicator variable indicating treatment status, </w:t>
      </w:r>
      <w:proofErr w:type="spellStart"/>
      <w:r w:rsidR="0059442B" w:rsidRPr="005576E1">
        <w:rPr>
          <w:rFonts w:ascii="Times New Roman" w:hAnsi="Times New Roman" w:cs="Times New Roman"/>
          <w:i/>
          <w:iCs/>
        </w:rPr>
        <w:t>TIF</w:t>
      </w:r>
      <w:r w:rsidR="0059442B" w:rsidRPr="005576E1">
        <w:rPr>
          <w:rFonts w:ascii="Times New Roman" w:hAnsi="Times New Roman" w:cs="Times New Roman"/>
          <w:i/>
          <w:iCs/>
          <w:vertAlign w:val="subscript"/>
        </w:rPr>
        <w:t>it</w:t>
      </w:r>
      <w:proofErr w:type="spellEnd"/>
      <w:r w:rsidR="0059442B" w:rsidRPr="005576E1">
        <w:rPr>
          <w:rFonts w:ascii="Times New Roman" w:hAnsi="Times New Roman" w:cs="Times New Roman"/>
        </w:rPr>
        <w:t xml:space="preserve">. </w:t>
      </w:r>
      <w:r w:rsidR="009539B0" w:rsidRPr="005576E1">
        <w:rPr>
          <w:rFonts w:ascii="Times New Roman" w:hAnsi="Times New Roman" w:cs="Times New Roman"/>
        </w:rPr>
        <w:t xml:space="preserve">The log-linear functional form is standard in the policy impact and empirical labor economics literature (see, e.g., </w:t>
      </w:r>
      <w:r w:rsidR="00F62945" w:rsidRPr="005576E1">
        <w:rPr>
          <w:rFonts w:ascii="Times New Roman" w:hAnsi="Times New Roman" w:cs="Times New Roman"/>
        </w:rPr>
        <w:fldChar w:fldCharType="begin"/>
      </w:r>
      <w:r w:rsidR="00F62945" w:rsidRPr="005576E1">
        <w:rPr>
          <w:rFonts w:ascii="Times New Roman" w:hAnsi="Times New Roman" w:cs="Times New Roman"/>
        </w:rPr>
        <w:instrText xml:space="preserve"> ADDIN ZOTERO_ITEM CSL_CITATION {"citationID":"NlmnEQpA","properties":{"formattedCitation":"(Dube, Lester, and Reich 2010)","plainCitation":"(Dube, Lester, and Reich 2010)"},"citationItems":[{"id":166,"uris":["http://zotero.org/users/local/sNCqxxLT/items/BX6ZT3HV"],"uri":["http://zotero.org/users/local/sNCqxxLT/items/BX6ZT3HV"],"itemData":{"id":166,"type":"article-journal","title":"Minimum wage effects across state borders: Estimates using contiguous counties.","container-title":"The Review of Economics and Statistics","page":"945-964","volume":"92","issue":"4","author":[{"family":"Dube","given":"Arindrajit"},{"family":"Lester","given":"T. William"},{"family":"Reich","given":"Michael"}],"issued":{"date-parts":[["2010"]]}}}],"schema":"https://github.com/citation-style-language/schema/raw/master/csl-citation.json"} </w:instrText>
      </w:r>
      <w:r w:rsidR="00F62945" w:rsidRPr="005576E1">
        <w:rPr>
          <w:rFonts w:ascii="Times New Roman" w:hAnsi="Times New Roman" w:cs="Times New Roman"/>
        </w:rPr>
        <w:fldChar w:fldCharType="separate"/>
      </w:r>
      <w:r w:rsidR="00F62945" w:rsidRPr="005576E1">
        <w:rPr>
          <w:rFonts w:ascii="Times New Roman" w:hAnsi="Times New Roman" w:cs="Times New Roman"/>
        </w:rPr>
        <w:t>Dube, Lester, and Reich 2010)</w:t>
      </w:r>
      <w:r w:rsidR="00F62945" w:rsidRPr="005576E1">
        <w:rPr>
          <w:rFonts w:ascii="Times New Roman" w:hAnsi="Times New Roman" w:cs="Times New Roman"/>
        </w:rPr>
        <w:fldChar w:fldCharType="end"/>
      </w:r>
      <w:r w:rsidR="009539B0" w:rsidRPr="005576E1">
        <w:rPr>
          <w:rFonts w:ascii="Times New Roman" w:hAnsi="Times New Roman" w:cs="Times New Roman"/>
        </w:rPr>
        <w:t xml:space="preserve">. </w:t>
      </w:r>
      <w:r w:rsidR="0059442B" w:rsidRPr="005576E1">
        <w:rPr>
          <w:rFonts w:ascii="Times New Roman" w:hAnsi="Times New Roman" w:cs="Times New Roman"/>
        </w:rPr>
        <w:t xml:space="preserve">The dependent variable is coded as (0) for each year (t) that a given block group (i) is not part of a TIF district, in case of Kansas City, or does not include a </w:t>
      </w:r>
      <w:r w:rsidRPr="005576E1">
        <w:rPr>
          <w:rFonts w:ascii="Times New Roman" w:hAnsi="Times New Roman" w:cs="Times New Roman"/>
        </w:rPr>
        <w:t>TIF project</w:t>
      </w:r>
      <w:r w:rsidR="0059442B" w:rsidRPr="005576E1">
        <w:rPr>
          <w:rFonts w:ascii="Times New Roman" w:hAnsi="Times New Roman" w:cs="Times New Roman"/>
        </w:rPr>
        <w:t xml:space="preserve">, in the case of </w:t>
      </w:r>
      <w:r w:rsidR="005576E1" w:rsidRPr="005576E1">
        <w:rPr>
          <w:rFonts w:ascii="Times New Roman" w:hAnsi="Times New Roman" w:cs="Times New Roman"/>
        </w:rPr>
        <w:t>Saint Louis</w:t>
      </w:r>
      <w:r w:rsidR="0059442B" w:rsidRPr="005576E1">
        <w:rPr>
          <w:rFonts w:ascii="Times New Roman" w:hAnsi="Times New Roman" w:cs="Times New Roman"/>
        </w:rPr>
        <w:t xml:space="preserve">. It is coded as (1) for each full calendar year after designation. The model also includes fixed-effects for each year, </w:t>
      </w:r>
      <m:oMath>
        <m:sSub>
          <m:sSubPr>
            <m:ctrlPr>
              <w:rPr>
                <w:rFonts w:ascii="Cambria Math" w:hAnsi="Cambria Math" w:cs="Times New Roman"/>
                <w:i/>
              </w:rPr>
            </m:ctrlPr>
          </m:sSubPr>
          <m:e>
            <m:r>
              <w:rPr>
                <w:rFonts w:ascii="Cambria Math" w:hAnsi="Cambria Math" w:cs="Times New Roman"/>
              </w:rPr>
              <m:t>δ</m:t>
            </m:r>
          </m:e>
          <m:sub>
            <m:r>
              <w:rPr>
                <w:rFonts w:ascii="Cambria Math" w:hAnsi="Cambria Math" w:cs="Times New Roman"/>
              </w:rPr>
              <m:t>t</m:t>
            </m:r>
          </m:sub>
        </m:sSub>
        <m:r>
          <w:rPr>
            <w:rFonts w:ascii="Cambria Math" w:hAnsi="Cambria Math" w:cs="Times New Roman"/>
          </w:rPr>
          <m:t xml:space="preserve">, </m:t>
        </m:r>
      </m:oMath>
      <w:r w:rsidR="0059442B" w:rsidRPr="005576E1">
        <w:rPr>
          <w:rFonts w:ascii="Times New Roman" w:hAnsi="Times New Roman" w:cs="Times New Roman"/>
        </w:rPr>
        <w:t xml:space="preserve">and each block group, </w:t>
      </w:r>
      <m:oMath>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oMath>
      <w:r w:rsidR="0059442B" w:rsidRPr="005576E1">
        <w:rPr>
          <w:rFonts w:ascii="Times New Roman" w:hAnsi="Times New Roman" w:cs="Times New Roman"/>
        </w:rPr>
        <w:t xml:space="preserve">. </w:t>
      </w:r>
      <w:r w:rsidR="009539B0" w:rsidRPr="005576E1">
        <w:rPr>
          <w:rFonts w:ascii="Times New Roman" w:hAnsi="Times New Roman" w:cs="Times New Roman"/>
        </w:rPr>
        <w:t xml:space="preserve">The inclusion of year fixed effects controls for any changes in employment that are due to cyclical trends correlated with time, e.g. state-wide growth. The establishment fixed effects controls for any time-invariant idiosyncratic differences across block groups. </w:t>
      </w:r>
      <w:r w:rsidR="0059442B" w:rsidRPr="005576E1">
        <w:rPr>
          <w:rFonts w:ascii="Times New Roman" w:hAnsi="Times New Roman" w:cs="Times New Roman"/>
        </w:rPr>
        <w:t xml:space="preserve">The coefficient, </w:t>
      </w:r>
      <m:oMath>
        <m:r>
          <w:rPr>
            <w:rFonts w:ascii="Cambria Math" w:hAnsi="Cambria Math" w:cs="Times New Roman"/>
          </w:rPr>
          <m:t>β</m:t>
        </m:r>
      </m:oMath>
      <w:r w:rsidR="0059442B" w:rsidRPr="005576E1">
        <w:rPr>
          <w:rFonts w:ascii="Times New Roman" w:hAnsi="Times New Roman" w:cs="Times New Roman"/>
        </w:rPr>
        <w:t xml:space="preserve">, is a </w:t>
      </w:r>
      <w:proofErr w:type="spellStart"/>
      <w:r w:rsidR="0059442B" w:rsidRPr="005576E1">
        <w:rPr>
          <w:rFonts w:ascii="Times New Roman" w:hAnsi="Times New Roman" w:cs="Times New Roman"/>
        </w:rPr>
        <w:t>D</w:t>
      </w:r>
      <w:r w:rsidR="00834590" w:rsidRPr="005576E1">
        <w:rPr>
          <w:rFonts w:ascii="Times New Roman" w:hAnsi="Times New Roman" w:cs="Times New Roman"/>
        </w:rPr>
        <w:t>i</w:t>
      </w:r>
      <w:r w:rsidR="0059442B" w:rsidRPr="005576E1">
        <w:rPr>
          <w:rFonts w:ascii="Times New Roman" w:hAnsi="Times New Roman" w:cs="Times New Roman"/>
        </w:rPr>
        <w:t>D</w:t>
      </w:r>
      <w:proofErr w:type="spellEnd"/>
      <w:r w:rsidR="0059442B" w:rsidRPr="005576E1">
        <w:rPr>
          <w:rFonts w:ascii="Times New Roman" w:hAnsi="Times New Roman" w:cs="Times New Roman"/>
        </w:rPr>
        <w:t xml:space="preserve"> estimator and is therefore identified solely by changes in the treatment indicator within a given block group over time.</w:t>
      </w:r>
      <w:r w:rsidR="009539B0" w:rsidRPr="005576E1">
        <w:rPr>
          <w:rFonts w:ascii="Times New Roman" w:hAnsi="Times New Roman" w:cs="Times New Roman"/>
        </w:rPr>
        <w:t xml:space="preserve"> </w:t>
      </w:r>
    </w:p>
    <w:p w14:paraId="17247022" w14:textId="3B7BB041" w:rsidR="006F22C3" w:rsidRPr="005576E1" w:rsidRDefault="006F22C3" w:rsidP="00B77519">
      <w:pPr>
        <w:spacing w:line="480" w:lineRule="auto"/>
        <w:ind w:left="0"/>
        <w:rPr>
          <w:rFonts w:ascii="Times New Roman" w:hAnsi="Times New Roman" w:cs="Times New Roman"/>
        </w:rPr>
      </w:pPr>
    </w:p>
    <w:p w14:paraId="1FD05593" w14:textId="6CB37E0D" w:rsidR="00FE51A9" w:rsidRPr="005576E1" w:rsidRDefault="00FE51A9"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4.</w:t>
      </w:r>
      <w:r w:rsidR="005E3EFB" w:rsidRPr="005576E1">
        <w:rPr>
          <w:rFonts w:ascii="Times New Roman" w:hAnsi="Times New Roman" w:cs="Times New Roman"/>
          <w:color w:val="auto"/>
        </w:rPr>
        <w:t>1</w:t>
      </w:r>
      <w:r w:rsidRPr="005576E1">
        <w:rPr>
          <w:rFonts w:ascii="Times New Roman" w:hAnsi="Times New Roman" w:cs="Times New Roman"/>
          <w:color w:val="auto"/>
        </w:rPr>
        <w:t xml:space="preserve"> Addressing Selection Bias</w:t>
      </w:r>
    </w:p>
    <w:p w14:paraId="166FBE33" w14:textId="4A6E2881" w:rsidR="00FE51A9" w:rsidRPr="005576E1" w:rsidRDefault="005E3EFB" w:rsidP="005576E1">
      <w:pPr>
        <w:spacing w:line="480" w:lineRule="auto"/>
        <w:ind w:left="0"/>
        <w:rPr>
          <w:rFonts w:ascii="Times New Roman" w:hAnsi="Times New Roman" w:cs="Times New Roman"/>
        </w:rPr>
      </w:pPr>
      <w:r w:rsidRPr="005576E1">
        <w:rPr>
          <w:rFonts w:ascii="Times New Roman" w:hAnsi="Times New Roman" w:cs="Times New Roman"/>
        </w:rPr>
        <w:br/>
      </w:r>
      <w:bookmarkStart w:id="7" w:name="_Hlk488329963"/>
      <w:r w:rsidR="005576E1">
        <w:rPr>
          <w:rFonts w:ascii="Times New Roman" w:hAnsi="Times New Roman" w:cs="Times New Roman"/>
        </w:rPr>
        <w:t xml:space="preserve">             </w:t>
      </w:r>
      <w:r w:rsidR="00FE51A9" w:rsidRPr="005576E1">
        <w:rPr>
          <w:rFonts w:ascii="Times New Roman" w:hAnsi="Times New Roman" w:cs="Times New Roman"/>
        </w:rPr>
        <w:t xml:space="preserve">A necessary justification for the use of TIFs is that development would not occur “but-for” the use of tax increment financing. In order to evaluate this claim, it is necessary to ensure that comparisons are made against a reasonable control group. </w:t>
      </w:r>
      <w:r w:rsidR="00380005" w:rsidRPr="005576E1">
        <w:rPr>
          <w:rFonts w:ascii="Times New Roman" w:hAnsi="Times New Roman" w:cs="Times New Roman"/>
        </w:rPr>
        <w:t xml:space="preserve">If the assignment of TIF to fund projects or districts was decided through random assignment, simply comparing treatment and control groups using the </w:t>
      </w:r>
      <w:proofErr w:type="spellStart"/>
      <w:r w:rsidR="00380005" w:rsidRPr="005576E1">
        <w:rPr>
          <w:rFonts w:ascii="Times New Roman" w:hAnsi="Times New Roman" w:cs="Times New Roman"/>
        </w:rPr>
        <w:t>DiD</w:t>
      </w:r>
      <w:proofErr w:type="spellEnd"/>
      <w:r w:rsidR="00380005" w:rsidRPr="005576E1">
        <w:rPr>
          <w:rFonts w:ascii="Times New Roman" w:hAnsi="Times New Roman" w:cs="Times New Roman"/>
        </w:rPr>
        <w:t xml:space="preserve"> methodology described above would be sufficient. However, s</w:t>
      </w:r>
      <w:r w:rsidR="00FE51A9" w:rsidRPr="005576E1">
        <w:rPr>
          <w:rFonts w:ascii="Times New Roman" w:hAnsi="Times New Roman" w:cs="Times New Roman"/>
        </w:rPr>
        <w:t xml:space="preserve">ince </w:t>
      </w:r>
      <w:r w:rsidR="00380005" w:rsidRPr="005576E1">
        <w:rPr>
          <w:rFonts w:ascii="Times New Roman" w:hAnsi="Times New Roman" w:cs="Times New Roman"/>
        </w:rPr>
        <w:t xml:space="preserve">municipalities did not designate </w:t>
      </w:r>
      <w:r w:rsidR="00FE51A9" w:rsidRPr="005576E1">
        <w:rPr>
          <w:rFonts w:ascii="Times New Roman" w:hAnsi="Times New Roman" w:cs="Times New Roman"/>
        </w:rPr>
        <w:t xml:space="preserve">TIF </w:t>
      </w:r>
      <w:r w:rsidR="00380005" w:rsidRPr="005576E1">
        <w:rPr>
          <w:rFonts w:ascii="Times New Roman" w:hAnsi="Times New Roman" w:cs="Times New Roman"/>
        </w:rPr>
        <w:t xml:space="preserve">districts randomly but instead </w:t>
      </w:r>
      <w:r w:rsidR="00FE51A9" w:rsidRPr="005576E1">
        <w:rPr>
          <w:rFonts w:ascii="Times New Roman" w:hAnsi="Times New Roman" w:cs="Times New Roman"/>
        </w:rPr>
        <w:t>designat</w:t>
      </w:r>
      <w:r w:rsidR="00380005" w:rsidRPr="005576E1">
        <w:rPr>
          <w:rFonts w:ascii="Times New Roman" w:hAnsi="Times New Roman" w:cs="Times New Roman"/>
        </w:rPr>
        <w:t>e districts on the basis of certain characteristics that are</w:t>
      </w:r>
      <w:r w:rsidR="00FE51A9" w:rsidRPr="005576E1">
        <w:rPr>
          <w:rFonts w:ascii="Times New Roman" w:hAnsi="Times New Roman" w:cs="Times New Roman"/>
        </w:rPr>
        <w:t xml:space="preserve"> </w:t>
      </w:r>
      <w:r w:rsidR="00380005" w:rsidRPr="005576E1">
        <w:rPr>
          <w:rFonts w:ascii="Times New Roman" w:hAnsi="Times New Roman" w:cs="Times New Roman"/>
        </w:rPr>
        <w:t xml:space="preserve">generally </w:t>
      </w:r>
      <w:r w:rsidR="00FE51A9" w:rsidRPr="005576E1">
        <w:rPr>
          <w:rFonts w:ascii="Times New Roman" w:hAnsi="Times New Roman" w:cs="Times New Roman"/>
        </w:rPr>
        <w:t>“positively related with neighborhood distress”</w:t>
      </w:r>
      <w:r w:rsidR="00F62945" w:rsidRPr="005576E1">
        <w:rPr>
          <w:rFonts w:ascii="Times New Roman" w:hAnsi="Times New Roman" w:cs="Times New Roman"/>
        </w:rPr>
        <w:fldChar w:fldCharType="begin"/>
      </w:r>
      <w:r w:rsidR="00F62945" w:rsidRPr="005576E1">
        <w:rPr>
          <w:rFonts w:ascii="Times New Roman" w:hAnsi="Times New Roman" w:cs="Times New Roman"/>
        </w:rPr>
        <w:instrText xml:space="preserve"> ADDIN ZOTERO_ITEM CSL_CITATION {"citationID":"8WnXLIIS","properties":{"formattedCitation":"(Gibson 2003)","plainCitation":"(Gibson 2003)"},"citationItems":[{"id":169,"uris":["http://zotero.org/users/local/sNCqxxLT/items/VA8B3C6J"],"uri":["http://zotero.org/users/local/sNCqxxLT/items/VA8B3C6J"],"itemData":{"id":169,"type":"article-journal","title":"Neighborhood characteristics of Tax Increment Financing in Chicago","container-title":"Journal of Urban Economics","page":"309-327","volume":"54","issue":"2","author":[{"family":"Gibson","given":"Diane"}],"issued":{"date-parts":[["2003"]]}}}],"schema":"https://github.com/citation-style-language/schema/raw/master/csl-citation.json"} </w:instrText>
      </w:r>
      <w:r w:rsidR="00F62945" w:rsidRPr="005576E1">
        <w:rPr>
          <w:rFonts w:ascii="Times New Roman" w:hAnsi="Times New Roman" w:cs="Times New Roman"/>
        </w:rPr>
        <w:fldChar w:fldCharType="separate"/>
      </w:r>
      <w:r w:rsidR="00F62945" w:rsidRPr="005576E1">
        <w:rPr>
          <w:rFonts w:ascii="Times New Roman" w:hAnsi="Times New Roman" w:cs="Times New Roman"/>
        </w:rPr>
        <w:t>(Gibson 2003)</w:t>
      </w:r>
      <w:r w:rsidR="00F62945" w:rsidRPr="005576E1">
        <w:rPr>
          <w:rFonts w:ascii="Times New Roman" w:hAnsi="Times New Roman" w:cs="Times New Roman"/>
        </w:rPr>
        <w:fldChar w:fldCharType="end"/>
      </w:r>
      <w:r w:rsidR="00FE51A9" w:rsidRPr="005576E1">
        <w:rPr>
          <w:rFonts w:ascii="Times New Roman" w:hAnsi="Times New Roman" w:cs="Times New Roman"/>
        </w:rPr>
        <w:t>, simply comparing block groups that receive</w:t>
      </w:r>
      <w:r w:rsidR="00380005" w:rsidRPr="005576E1">
        <w:rPr>
          <w:rFonts w:ascii="Times New Roman" w:hAnsi="Times New Roman" w:cs="Times New Roman"/>
        </w:rPr>
        <w:t>d</w:t>
      </w:r>
      <w:r w:rsidR="00FE51A9" w:rsidRPr="005576E1">
        <w:rPr>
          <w:rFonts w:ascii="Times New Roman" w:hAnsi="Times New Roman" w:cs="Times New Roman"/>
        </w:rPr>
        <w:t xml:space="preserve"> treatment to those which did not is not adequate sinc</w:t>
      </w:r>
      <w:r w:rsidR="00380005" w:rsidRPr="005576E1">
        <w:rPr>
          <w:rFonts w:ascii="Times New Roman" w:hAnsi="Times New Roman" w:cs="Times New Roman"/>
        </w:rPr>
        <w:t>e the block groups that received</w:t>
      </w:r>
      <w:r w:rsidR="00FE51A9" w:rsidRPr="005576E1">
        <w:rPr>
          <w:rFonts w:ascii="Times New Roman" w:hAnsi="Times New Roman" w:cs="Times New Roman"/>
        </w:rPr>
        <w:t xml:space="preserve"> treatment </w:t>
      </w:r>
      <w:r w:rsidR="00380005" w:rsidRPr="005576E1">
        <w:rPr>
          <w:rFonts w:ascii="Times New Roman" w:hAnsi="Times New Roman" w:cs="Times New Roman"/>
        </w:rPr>
        <w:t>status were chosen because they were</w:t>
      </w:r>
      <w:r w:rsidR="00FE51A9" w:rsidRPr="005576E1">
        <w:rPr>
          <w:rFonts w:ascii="Times New Roman" w:hAnsi="Times New Roman" w:cs="Times New Roman"/>
        </w:rPr>
        <w:t xml:space="preserve"> systematically different that those which </w:t>
      </w:r>
      <w:r w:rsidR="00380005" w:rsidRPr="005576E1">
        <w:rPr>
          <w:rFonts w:ascii="Times New Roman" w:hAnsi="Times New Roman" w:cs="Times New Roman"/>
        </w:rPr>
        <w:t>did</w:t>
      </w:r>
      <w:r w:rsidR="00FE51A9" w:rsidRPr="005576E1">
        <w:rPr>
          <w:rFonts w:ascii="Times New Roman" w:hAnsi="Times New Roman" w:cs="Times New Roman"/>
        </w:rPr>
        <w:t xml:space="preserve"> not. </w:t>
      </w:r>
      <w:bookmarkEnd w:id="7"/>
    </w:p>
    <w:p w14:paraId="13257A45" w14:textId="3C2DC456" w:rsidR="00FE51A9" w:rsidRPr="005576E1" w:rsidRDefault="00FE51A9" w:rsidP="00B77519">
      <w:pPr>
        <w:spacing w:line="480" w:lineRule="auto"/>
        <w:ind w:left="0"/>
        <w:rPr>
          <w:rFonts w:ascii="Times New Roman" w:hAnsi="Times New Roman" w:cs="Times New Roman"/>
        </w:rPr>
      </w:pPr>
    </w:p>
    <w:p w14:paraId="42D1DB47" w14:textId="53AC94C2" w:rsidR="00FE51A9" w:rsidRPr="005576E1" w:rsidRDefault="00FE51A9" w:rsidP="005576E1">
      <w:pPr>
        <w:spacing w:line="480" w:lineRule="auto"/>
        <w:ind w:left="0" w:firstLine="720"/>
        <w:rPr>
          <w:rFonts w:ascii="Times New Roman" w:hAnsi="Times New Roman" w:cs="Times New Roman"/>
          <w:u w:val="single"/>
        </w:rPr>
      </w:pPr>
      <w:bookmarkStart w:id="8" w:name="_Hlk488330298"/>
      <w:r w:rsidRPr="005576E1">
        <w:rPr>
          <w:rFonts w:ascii="Times New Roman" w:hAnsi="Times New Roman" w:cs="Times New Roman"/>
        </w:rPr>
        <w:lastRenderedPageBreak/>
        <w:t>To address the endogeneity of TIF designation, we employ a propensity score weighting procedure that identifies economically similar treated and untreated block groups based o</w:t>
      </w:r>
      <w:r w:rsidR="00505F4F" w:rsidRPr="005576E1">
        <w:rPr>
          <w:rFonts w:ascii="Times New Roman" w:hAnsi="Times New Roman" w:cs="Times New Roman"/>
        </w:rPr>
        <w:t>n pre-treatment characteristics</w:t>
      </w:r>
      <w:r w:rsidR="00F62945" w:rsidRPr="005576E1">
        <w:rPr>
          <w:rFonts w:ascii="Times New Roman" w:hAnsi="Times New Roman" w:cs="Times New Roman"/>
        </w:rPr>
        <w:t xml:space="preserve"> </w:t>
      </w:r>
      <w:r w:rsidR="00F62945" w:rsidRPr="005576E1">
        <w:rPr>
          <w:rFonts w:ascii="Times New Roman" w:hAnsi="Times New Roman" w:cs="Times New Roman"/>
        </w:rPr>
        <w:fldChar w:fldCharType="begin"/>
      </w:r>
      <w:r w:rsidR="00F62945" w:rsidRPr="005576E1">
        <w:rPr>
          <w:rFonts w:ascii="Times New Roman" w:hAnsi="Times New Roman" w:cs="Times New Roman"/>
        </w:rPr>
        <w:instrText xml:space="preserve"> ADDIN ZOTERO_ITEM CSL_CITATION {"citationID":"Z43RQiUU","properties":{"formattedCitation":"(Rosenbaum and Rubin 1983)","plainCitation":"(Rosenbaum and Rubin 1983)"},"citationItems":[{"id":180,"uris":["http://zotero.org/users/local/sNCqxxLT/items/WEENR4EM"],"uri":["http://zotero.org/users/local/sNCqxxLT/items/WEENR4EM"],"itemData":{"id":180,"type":"article-journal","title":"The central role of the propensity score in observational studies of causal effects.","container-title":"Biometrika","page":"41-55","volume":"70","issue":"1","author":[{"family":"Rosenbaum","given":"Paul R."},{"family":"Rubin","given":"Donald B."}],"issued":{"date-parts":[["1983"]]}}}],"schema":"https://github.com/citation-style-language/schema/raw/master/csl-citation.json"} </w:instrText>
      </w:r>
      <w:r w:rsidR="00F62945" w:rsidRPr="005576E1">
        <w:rPr>
          <w:rFonts w:ascii="Times New Roman" w:hAnsi="Times New Roman" w:cs="Times New Roman"/>
        </w:rPr>
        <w:fldChar w:fldCharType="separate"/>
      </w:r>
      <w:r w:rsidR="00F62945" w:rsidRPr="005576E1">
        <w:rPr>
          <w:rFonts w:ascii="Times New Roman" w:hAnsi="Times New Roman" w:cs="Times New Roman"/>
        </w:rPr>
        <w:t>(Rosenbaum and Rubin 1983)</w:t>
      </w:r>
      <w:r w:rsidR="00F62945" w:rsidRPr="005576E1">
        <w:rPr>
          <w:rFonts w:ascii="Times New Roman" w:hAnsi="Times New Roman" w:cs="Times New Roman"/>
        </w:rPr>
        <w:fldChar w:fldCharType="end"/>
      </w:r>
      <w:r w:rsidRPr="005576E1">
        <w:rPr>
          <w:rFonts w:ascii="Times New Roman" w:hAnsi="Times New Roman" w:cs="Times New Roman"/>
        </w:rPr>
        <w:t xml:space="preserve">. The procedure predicts likelihood of TIF treatment at the block group level based on observable pre-treatment characteristics, obtained from US 1990 Census data. </w:t>
      </w:r>
      <w:r w:rsidR="009C6725" w:rsidRPr="005576E1">
        <w:rPr>
          <w:rFonts w:ascii="Times New Roman" w:hAnsi="Times New Roman" w:cs="Times New Roman"/>
        </w:rPr>
        <w:t xml:space="preserve">In other words, the procedure identifies block groups in both groups that can function as statistical twins on the basis on their socio-economic conditions in 1990. </w:t>
      </w:r>
      <w:r w:rsidR="00772227" w:rsidRPr="005576E1">
        <w:rPr>
          <w:rFonts w:ascii="Times New Roman" w:hAnsi="Times New Roman" w:cs="Times New Roman"/>
        </w:rPr>
        <w:t xml:space="preserve">The statistical twin in the control group can then be considered an area that may have received a TIF and therefore be comparable to an area that actually received treatment. </w:t>
      </w:r>
      <w:r w:rsidRPr="005576E1">
        <w:rPr>
          <w:rFonts w:ascii="Times New Roman" w:hAnsi="Times New Roman" w:cs="Times New Roman"/>
        </w:rPr>
        <w:t xml:space="preserve">The goal of propensity score weighting is to achieve balance in the distribution of the pre-treatment characteristics so that </w:t>
      </w:r>
      <w:r w:rsidR="009C6725" w:rsidRPr="005576E1">
        <w:rPr>
          <w:rFonts w:ascii="Times New Roman" w:hAnsi="Times New Roman" w:cs="Times New Roman"/>
        </w:rPr>
        <w:t>the distribution is</w:t>
      </w:r>
      <w:r w:rsidRPr="005576E1">
        <w:rPr>
          <w:rFonts w:ascii="Times New Roman" w:hAnsi="Times New Roman" w:cs="Times New Roman"/>
        </w:rPr>
        <w:t xml:space="preserve"> the same in the treated and control groups. The purpose of the weighting technique is not to predict timing of designation but rather control for factors that may be correlated to economic development or growth that may also be correlated with TIF assignment. </w:t>
      </w:r>
    </w:p>
    <w:bookmarkEnd w:id="8"/>
    <w:p w14:paraId="4E04C49C" w14:textId="77777777" w:rsidR="005E3EFB" w:rsidRPr="005576E1" w:rsidRDefault="005E3EFB" w:rsidP="00B77519">
      <w:pPr>
        <w:spacing w:line="480" w:lineRule="auto"/>
        <w:ind w:left="0"/>
        <w:rPr>
          <w:rFonts w:ascii="Times New Roman" w:hAnsi="Times New Roman" w:cs="Times New Roman"/>
          <w:b/>
          <w:bCs/>
          <w:i/>
          <w:iCs/>
          <w:sz w:val="24"/>
          <w:szCs w:val="24"/>
        </w:rPr>
      </w:pPr>
    </w:p>
    <w:p w14:paraId="5F4FD156" w14:textId="117EB137" w:rsidR="00FA3C3D" w:rsidRPr="005576E1" w:rsidRDefault="00FA3C3D"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4.</w:t>
      </w:r>
      <w:r w:rsidR="00FE51A9" w:rsidRPr="005576E1">
        <w:rPr>
          <w:rFonts w:ascii="Times New Roman" w:hAnsi="Times New Roman" w:cs="Times New Roman"/>
          <w:color w:val="auto"/>
        </w:rPr>
        <w:t>2</w:t>
      </w:r>
      <w:r w:rsidRPr="005576E1">
        <w:rPr>
          <w:rFonts w:ascii="Times New Roman" w:hAnsi="Times New Roman" w:cs="Times New Roman"/>
          <w:color w:val="auto"/>
        </w:rPr>
        <w:t xml:space="preserve"> Addressing Common Trend </w:t>
      </w:r>
      <w:r w:rsidR="005E3EFB" w:rsidRPr="005576E1">
        <w:rPr>
          <w:rFonts w:ascii="Times New Roman" w:hAnsi="Times New Roman" w:cs="Times New Roman"/>
          <w:color w:val="auto"/>
        </w:rPr>
        <w:t>A</w:t>
      </w:r>
      <w:r w:rsidRPr="005576E1">
        <w:rPr>
          <w:rFonts w:ascii="Times New Roman" w:hAnsi="Times New Roman" w:cs="Times New Roman"/>
          <w:color w:val="auto"/>
        </w:rPr>
        <w:t>ssumption</w:t>
      </w:r>
    </w:p>
    <w:p w14:paraId="59C7AFBA" w14:textId="77777777" w:rsidR="005E3EFB" w:rsidRPr="005576E1" w:rsidRDefault="005E3EFB" w:rsidP="00B77519">
      <w:pPr>
        <w:spacing w:line="480" w:lineRule="auto"/>
        <w:ind w:left="0"/>
        <w:rPr>
          <w:rFonts w:ascii="Times New Roman" w:hAnsi="Times New Roman" w:cs="Times New Roman"/>
        </w:rPr>
      </w:pPr>
    </w:p>
    <w:p w14:paraId="6BEE7F7F" w14:textId="372381BA" w:rsidR="006F22C3" w:rsidRPr="005576E1" w:rsidRDefault="005576E1" w:rsidP="00B77519">
      <w:pPr>
        <w:spacing w:line="480" w:lineRule="auto"/>
        <w:ind w:left="0"/>
        <w:rPr>
          <w:rFonts w:ascii="Times New Roman" w:eastAsiaTheme="minorEastAsia" w:hAnsi="Times New Roman" w:cs="Times New Roman"/>
        </w:rPr>
      </w:pPr>
      <w:r>
        <w:rPr>
          <w:rFonts w:ascii="Times New Roman" w:hAnsi="Times New Roman" w:cs="Times New Roman"/>
        </w:rPr>
        <w:t xml:space="preserve">               </w:t>
      </w:r>
      <w:r w:rsidR="00FA3C3D" w:rsidRPr="005576E1">
        <w:rPr>
          <w:rFonts w:ascii="Times New Roman" w:hAnsi="Times New Roman" w:cs="Times New Roman"/>
        </w:rPr>
        <w:t xml:space="preserve">One of the main assumptions underpinning the main Difference-in-Difference specification above is that all block groups, in Kansas City and </w:t>
      </w:r>
      <w:r w:rsidRPr="005576E1">
        <w:rPr>
          <w:rFonts w:ascii="Times New Roman" w:hAnsi="Times New Roman" w:cs="Times New Roman"/>
        </w:rPr>
        <w:t>Saint Louis</w:t>
      </w:r>
      <w:r w:rsidR="00FA3C3D" w:rsidRPr="005576E1">
        <w:rPr>
          <w:rFonts w:ascii="Times New Roman" w:hAnsi="Times New Roman" w:cs="Times New Roman"/>
        </w:rPr>
        <w:t xml:space="preserve"> respectively, share a common time trend. In other words, all block groups are assumed to follow the same time trend in the absence of being designated a TIF. </w:t>
      </w:r>
      <w:r w:rsidR="00CA3A62" w:rsidRPr="005576E1">
        <w:rPr>
          <w:rFonts w:ascii="Times New Roman" w:hAnsi="Times New Roman" w:cs="Times New Roman"/>
        </w:rPr>
        <w:t xml:space="preserve">It is important to note that this does not mean they are assumed to have the same mean outcome. </w:t>
      </w:r>
      <w:r w:rsidR="006F22C3" w:rsidRPr="005576E1">
        <w:rPr>
          <w:rFonts w:ascii="Times New Roman" w:eastAsiaTheme="minorEastAsia" w:hAnsi="Times New Roman" w:cs="Times New Roman"/>
        </w:rPr>
        <w:t xml:space="preserve">To account for any </w:t>
      </w:r>
      <w:r w:rsidR="00CA3A62" w:rsidRPr="005576E1">
        <w:rPr>
          <w:rFonts w:ascii="Times New Roman" w:eastAsiaTheme="minorEastAsia" w:hAnsi="Times New Roman" w:cs="Times New Roman"/>
        </w:rPr>
        <w:t>differences in</w:t>
      </w:r>
      <w:r w:rsidR="003A1F04" w:rsidRPr="005576E1">
        <w:rPr>
          <w:rFonts w:ascii="Times New Roman" w:eastAsiaTheme="minorEastAsia" w:hAnsi="Times New Roman" w:cs="Times New Roman"/>
        </w:rPr>
        <w:t xml:space="preserve"> </w:t>
      </w:r>
      <w:r w:rsidR="006F22C3" w:rsidRPr="005576E1">
        <w:rPr>
          <w:rFonts w:ascii="Times New Roman" w:eastAsiaTheme="minorEastAsia" w:hAnsi="Times New Roman" w:cs="Times New Roman"/>
        </w:rPr>
        <w:t xml:space="preserve">time </w:t>
      </w:r>
      <w:r w:rsidR="00CA3A62" w:rsidRPr="005576E1">
        <w:rPr>
          <w:rFonts w:ascii="Times New Roman" w:eastAsiaTheme="minorEastAsia" w:hAnsi="Times New Roman" w:cs="Times New Roman"/>
        </w:rPr>
        <w:t>trends and any</w:t>
      </w:r>
      <w:r w:rsidR="006F22C3" w:rsidRPr="005576E1">
        <w:rPr>
          <w:rFonts w:ascii="Times New Roman" w:eastAsiaTheme="minorEastAsia" w:hAnsi="Times New Roman" w:cs="Times New Roman"/>
        </w:rPr>
        <w:t xml:space="preserve"> characteristics</w:t>
      </w:r>
      <w:r w:rsidR="003A1F04" w:rsidRPr="005576E1">
        <w:rPr>
          <w:rFonts w:ascii="Times New Roman" w:eastAsiaTheme="minorEastAsia" w:hAnsi="Times New Roman" w:cs="Times New Roman"/>
        </w:rPr>
        <w:t xml:space="preserve"> </w:t>
      </w:r>
      <w:r w:rsidR="00CA3A62" w:rsidRPr="005576E1">
        <w:rPr>
          <w:rFonts w:ascii="Times New Roman" w:eastAsiaTheme="minorEastAsia" w:hAnsi="Times New Roman" w:cs="Times New Roman"/>
        </w:rPr>
        <w:t>that vary linearly with time for each</w:t>
      </w:r>
      <w:r w:rsidR="006F22C3" w:rsidRPr="005576E1">
        <w:rPr>
          <w:rFonts w:ascii="Times New Roman" w:eastAsiaTheme="minorEastAsia" w:hAnsi="Times New Roman" w:cs="Times New Roman"/>
        </w:rPr>
        <w:t xml:space="preserve">, we also estimate </w:t>
      </w:r>
      <w:r w:rsidR="009F0A54" w:rsidRPr="005576E1">
        <w:rPr>
          <w:rFonts w:ascii="Times New Roman" w:eastAsiaTheme="minorEastAsia" w:hAnsi="Times New Roman" w:cs="Times New Roman"/>
        </w:rPr>
        <w:t>a</w:t>
      </w:r>
      <w:r w:rsidR="006F22C3" w:rsidRPr="005576E1">
        <w:rPr>
          <w:rFonts w:ascii="Times New Roman" w:eastAsiaTheme="minorEastAsia" w:hAnsi="Times New Roman" w:cs="Times New Roman"/>
        </w:rPr>
        <w:t xml:space="preserve"> set of models that include</w:t>
      </w:r>
      <w:r w:rsidR="00CA3A62" w:rsidRPr="005576E1">
        <w:rPr>
          <w:rFonts w:ascii="Times New Roman" w:eastAsiaTheme="minorEastAsia" w:hAnsi="Times New Roman" w:cs="Times New Roman"/>
        </w:rPr>
        <w:t xml:space="preserve"> linear</w:t>
      </w:r>
      <w:r w:rsidR="006F22C3" w:rsidRPr="005576E1">
        <w:rPr>
          <w:rFonts w:ascii="Times New Roman" w:eastAsiaTheme="minorEastAsia" w:hAnsi="Times New Roman" w:cs="Times New Roman"/>
        </w:rPr>
        <w:t xml:space="preserve"> time trends:</w:t>
      </w:r>
    </w:p>
    <w:p w14:paraId="6CDA6FA0" w14:textId="77777777" w:rsidR="005B44F2" w:rsidRPr="005576E1" w:rsidRDefault="005B44F2" w:rsidP="00B77519">
      <w:pPr>
        <w:spacing w:line="480" w:lineRule="auto"/>
        <w:ind w:left="0"/>
        <w:rPr>
          <w:rFonts w:ascii="Times New Roman" w:eastAsiaTheme="minorEastAsia" w:hAnsi="Times New Roman" w:cs="Times New Roman"/>
        </w:rPr>
      </w:pPr>
    </w:p>
    <w:p w14:paraId="379E1F5A" w14:textId="5308C4E6" w:rsidR="006F22C3" w:rsidRPr="005576E1" w:rsidRDefault="00D33067" w:rsidP="00B77519">
      <w:pPr>
        <w:spacing w:line="480" w:lineRule="auto"/>
        <w:ind w:left="0"/>
        <w:rPr>
          <w:rFonts w:ascii="Times New Roman" w:eastAsiaTheme="minorEastAsia"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2</m:t>
              </m:r>
            </m:e>
          </m:d>
          <m:r>
            <w:rPr>
              <w:rFonts w:ascii="Cambria Math" w:hAnsi="Cambria Math" w:cs="Times New Roman"/>
            </w:rPr>
            <m:t xml:space="preserve">          </m:t>
          </m:r>
          <m:sSub>
            <m:sSubPr>
              <m:ctrlPr>
                <w:rPr>
                  <w:rFonts w:ascii="Cambria Math" w:hAnsi="Cambria Math" w:cs="Times New Roman"/>
                  <w:i/>
                </w:rPr>
              </m:ctrlPr>
            </m:sSubPr>
            <m:e>
              <m:r>
                <m:rPr>
                  <m:sty m:val="p"/>
                </m:rPr>
                <w:rPr>
                  <w:rFonts w:ascii="Cambria Math" w:hAnsi="Cambria Math" w:cs="Times New Roman"/>
                </w:rPr>
                <m:t>ln⁡</m:t>
              </m:r>
              <m:r>
                <w:rPr>
                  <w:rFonts w:ascii="Cambria Math" w:hAnsi="Cambria Math" w:cs="Times New Roman"/>
                </w:rPr>
                <m:t>(y</m:t>
              </m:r>
            </m:e>
            <m:sub>
              <m:r>
                <w:rPr>
                  <w:rFonts w:ascii="Cambria Math" w:hAnsi="Cambria Math" w:cs="Times New Roman"/>
                </w:rPr>
                <m:t>it</m:t>
              </m:r>
            </m:sub>
          </m:sSub>
          <m:r>
            <w:rPr>
              <w:rFonts w:ascii="Cambria Math" w:hAnsi="Cambria Math" w:cs="Times New Roman"/>
            </w:rPr>
            <m:t>)</m:t>
          </m:r>
          <m:r>
            <m:rPr>
              <m:nor/>
            </m:rPr>
            <w:rPr>
              <w:rFonts w:ascii="Times New Roman" w:hAnsi="Times New Roman" w:cs="Times New Roman"/>
              <w:i/>
            </w:rPr>
            <m:t>=</m:t>
          </m:r>
          <m:r>
            <w:rPr>
              <w:rFonts w:ascii="Cambria Math" w:hAnsi="Cambria Math" w:cs="Times New Roman"/>
            </w:rPr>
            <m:t xml:space="preserve"> β</m:t>
          </m:r>
          <m:sSub>
            <m:sSubPr>
              <m:ctrlPr>
                <w:rPr>
                  <w:rFonts w:ascii="Cambria Math" w:hAnsi="Cambria Math" w:cs="Times New Roman"/>
                  <w:i/>
                </w:rPr>
              </m:ctrlPr>
            </m:sSubPr>
            <m:e>
              <m:r>
                <w:rPr>
                  <w:rFonts w:ascii="Cambria Math" w:hAnsi="Cambria Math" w:cs="Times New Roman"/>
                </w:rPr>
                <m:t>TIF</m:t>
              </m:r>
            </m:e>
            <m:sub>
              <m:r>
                <w:rPr>
                  <w:rFonts w:ascii="Cambria Math" w:hAnsi="Cambria Math" w:cs="Times New Roman"/>
                </w:rPr>
                <m:t>it</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δ</m:t>
              </m:r>
            </m:e>
            <m:sub>
              <m:r>
                <w:rPr>
                  <w:rFonts w:ascii="Cambria Math" w:hAnsi="Cambria Math" w:cs="Times New Roman"/>
                </w:rPr>
                <m:t>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r>
            <w:rPr>
              <w:rFonts w:ascii="Cambria Math" w:hAnsi="Cambria Math" w:cs="Times New Roman"/>
            </w:rPr>
            <m:t xml:space="preserve">t+ </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it</m:t>
              </m:r>
            </m:sub>
          </m:sSub>
          <m:r>
            <w:rPr>
              <w:rFonts w:ascii="Cambria Math" w:hAnsi="Cambria Math" w:cs="Times New Roman"/>
            </w:rPr>
            <m:t xml:space="preserve">             </m:t>
          </m:r>
        </m:oMath>
      </m:oMathPara>
    </w:p>
    <w:p w14:paraId="2647834C" w14:textId="77777777" w:rsidR="00FE51A9" w:rsidRPr="005576E1" w:rsidRDefault="00FE51A9" w:rsidP="00B77519">
      <w:pPr>
        <w:spacing w:line="480" w:lineRule="auto"/>
        <w:ind w:left="0"/>
        <w:rPr>
          <w:rFonts w:ascii="Times New Roman" w:eastAsiaTheme="minorEastAsia" w:hAnsi="Times New Roman" w:cs="Times New Roman"/>
        </w:rPr>
      </w:pPr>
    </w:p>
    <w:p w14:paraId="5576FEE3" w14:textId="08E61DAB" w:rsidR="001B6FBC"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lastRenderedPageBreak/>
        <w:t>4</w:t>
      </w:r>
      <w:r w:rsidR="00F76CC9" w:rsidRPr="005576E1">
        <w:rPr>
          <w:rFonts w:ascii="Times New Roman" w:hAnsi="Times New Roman" w:cs="Times New Roman"/>
          <w:color w:val="auto"/>
        </w:rPr>
        <w:t>.</w:t>
      </w:r>
      <w:r w:rsidR="00FA3C3D" w:rsidRPr="005576E1">
        <w:rPr>
          <w:rFonts w:ascii="Times New Roman" w:hAnsi="Times New Roman" w:cs="Times New Roman"/>
          <w:color w:val="auto"/>
        </w:rPr>
        <w:t>3</w:t>
      </w:r>
      <w:r w:rsidR="00C12DDF" w:rsidRPr="005576E1">
        <w:rPr>
          <w:rFonts w:ascii="Times New Roman" w:hAnsi="Times New Roman" w:cs="Times New Roman"/>
          <w:color w:val="auto"/>
        </w:rPr>
        <w:t xml:space="preserve"> </w:t>
      </w:r>
      <w:r w:rsidR="00856875" w:rsidRPr="005576E1">
        <w:rPr>
          <w:rFonts w:ascii="Times New Roman" w:hAnsi="Times New Roman" w:cs="Times New Roman"/>
          <w:color w:val="auto"/>
        </w:rPr>
        <w:t xml:space="preserve">Addressing </w:t>
      </w:r>
      <w:r w:rsidR="001B6FBC" w:rsidRPr="005576E1">
        <w:rPr>
          <w:rFonts w:ascii="Times New Roman" w:hAnsi="Times New Roman" w:cs="Times New Roman"/>
          <w:color w:val="auto"/>
        </w:rPr>
        <w:t>Pre-treatment Bias</w:t>
      </w:r>
    </w:p>
    <w:p w14:paraId="7F0CE523" w14:textId="77777777" w:rsidR="005E3EFB" w:rsidRPr="005576E1" w:rsidRDefault="005E3EFB" w:rsidP="00B77519">
      <w:pPr>
        <w:spacing w:line="480" w:lineRule="auto"/>
        <w:rPr>
          <w:rFonts w:ascii="Times New Roman" w:hAnsi="Times New Roman" w:cs="Times New Roman"/>
        </w:rPr>
      </w:pPr>
    </w:p>
    <w:p w14:paraId="221B4EC1" w14:textId="0F0B1F09" w:rsidR="000D1F19" w:rsidRPr="005576E1" w:rsidRDefault="00FE51A9" w:rsidP="005576E1">
      <w:pPr>
        <w:spacing w:line="480" w:lineRule="auto"/>
        <w:ind w:left="0" w:firstLine="720"/>
        <w:rPr>
          <w:rFonts w:ascii="Times New Roman" w:hAnsi="Times New Roman" w:cs="Times New Roman"/>
        </w:rPr>
      </w:pPr>
      <w:r w:rsidRPr="005576E1">
        <w:rPr>
          <w:rFonts w:ascii="Times New Roman" w:hAnsi="Times New Roman" w:cs="Times New Roman"/>
        </w:rPr>
        <w:t>Another related</w:t>
      </w:r>
      <w:r w:rsidR="001B6FBC" w:rsidRPr="005576E1">
        <w:rPr>
          <w:rFonts w:ascii="Times New Roman" w:hAnsi="Times New Roman" w:cs="Times New Roman"/>
        </w:rPr>
        <w:t xml:space="preserve"> potential concern is that </w:t>
      </w:r>
      <w:r w:rsidR="00BE42CF" w:rsidRPr="005576E1">
        <w:rPr>
          <w:rFonts w:ascii="Times New Roman" w:hAnsi="Times New Roman" w:cs="Times New Roman"/>
        </w:rPr>
        <w:t>the TIF commission</w:t>
      </w:r>
      <w:r w:rsidR="001B6FBC" w:rsidRPr="005576E1">
        <w:rPr>
          <w:rFonts w:ascii="Times New Roman" w:hAnsi="Times New Roman" w:cs="Times New Roman"/>
        </w:rPr>
        <w:t xml:space="preserve"> may have some unobservable knowledge about the area that prompted the use of TIF in the first place. This would introduce endogeneity between the treatment and the outcome. For example, if an establishment that is part of a larger corporate structure is retracting receives an incentive to preserve employment in a certain district, this would negatively bias the results. </w:t>
      </w:r>
      <w:r w:rsidR="00C1440C" w:rsidRPr="005576E1">
        <w:rPr>
          <w:rFonts w:ascii="Times New Roman" w:hAnsi="Times New Roman" w:cs="Times New Roman"/>
        </w:rPr>
        <w:t>The problem of pretreatment bias was first illustrated by</w:t>
      </w:r>
      <w:r w:rsidR="00F62945" w:rsidRPr="005576E1">
        <w:rPr>
          <w:rFonts w:ascii="Times New Roman" w:hAnsi="Times New Roman" w:cs="Times New Roman"/>
        </w:rPr>
        <w:t xml:space="preserve"> </w:t>
      </w:r>
      <w:r w:rsidR="00F62945" w:rsidRPr="005576E1">
        <w:rPr>
          <w:rFonts w:ascii="Times New Roman" w:hAnsi="Times New Roman" w:cs="Times New Roman"/>
        </w:rPr>
        <w:fldChar w:fldCharType="begin"/>
      </w:r>
      <w:r w:rsidR="00F62945" w:rsidRPr="005576E1">
        <w:rPr>
          <w:rFonts w:ascii="Times New Roman" w:hAnsi="Times New Roman" w:cs="Times New Roman"/>
        </w:rPr>
        <w:instrText xml:space="preserve"> ADDIN ZOTERO_ITEM CSL_CITATION {"citationID":"P1GIqgvg","properties":{"formattedCitation":"(Ashfelter and Card 1985)","plainCitation":"(Ashfelter and Card 1985)"},"citationItems":[{"id":161,"uris":["http://zotero.org/users/local/sNCqxxLT/items/2M4U2TXA"],"uri":["http://zotero.org/users/local/sNCqxxLT/items/2M4U2TXA"],"itemData":{"id":161,"type":"article-journal","title":"Using the Longitudinal Structure of Earnings to Estimate the Effect of Training Programs.","container-title":"The Review of Economics and Statistics","page":"649-660","author":[{"family":"Ashfelter","given":"Orly"},{"family":"Card","given":"David"}],"issued":{"date-parts":[["1985"]]}}}],"schema":"https://github.com/citation-style-language/schema/raw/master/csl-citation.json"} </w:instrText>
      </w:r>
      <w:r w:rsidR="00F62945" w:rsidRPr="005576E1">
        <w:rPr>
          <w:rFonts w:ascii="Times New Roman" w:hAnsi="Times New Roman" w:cs="Times New Roman"/>
        </w:rPr>
        <w:fldChar w:fldCharType="separate"/>
      </w:r>
      <w:r w:rsidR="00F62945" w:rsidRPr="005576E1">
        <w:rPr>
          <w:rFonts w:ascii="Times New Roman" w:hAnsi="Times New Roman" w:cs="Times New Roman"/>
        </w:rPr>
        <w:t>Ashfelter and Card (1985)</w:t>
      </w:r>
      <w:r w:rsidR="00F62945" w:rsidRPr="005576E1">
        <w:rPr>
          <w:rFonts w:ascii="Times New Roman" w:hAnsi="Times New Roman" w:cs="Times New Roman"/>
        </w:rPr>
        <w:fldChar w:fldCharType="end"/>
      </w:r>
      <w:r w:rsidR="000D1F19" w:rsidRPr="005576E1">
        <w:rPr>
          <w:rFonts w:ascii="Times New Roman" w:hAnsi="Times New Roman" w:cs="Times New Roman"/>
        </w:rPr>
        <w:t xml:space="preserve"> in a study on job training. Specifically, they found that the recipients of job training exhibited a downward trend in earnings prior to training which led to biased estimates of the benefits of the training program. To </w:t>
      </w:r>
      <w:r w:rsidR="000F33E4" w:rsidRPr="005576E1">
        <w:rPr>
          <w:rFonts w:ascii="Times New Roman" w:hAnsi="Times New Roman" w:cs="Times New Roman"/>
        </w:rPr>
        <w:t>account for</w:t>
      </w:r>
      <w:r w:rsidR="000D1F19" w:rsidRPr="005576E1">
        <w:rPr>
          <w:rFonts w:ascii="Times New Roman" w:hAnsi="Times New Roman" w:cs="Times New Roman"/>
        </w:rPr>
        <w:t xml:space="preserve"> the presence of an “</w:t>
      </w:r>
      <w:proofErr w:type="spellStart"/>
      <w:r w:rsidR="000D1F19" w:rsidRPr="005576E1">
        <w:rPr>
          <w:rFonts w:ascii="Times New Roman" w:hAnsi="Times New Roman" w:cs="Times New Roman"/>
        </w:rPr>
        <w:t>Ashenfelter</w:t>
      </w:r>
      <w:proofErr w:type="spellEnd"/>
      <w:r w:rsidR="000D1F19" w:rsidRPr="005576E1">
        <w:rPr>
          <w:rFonts w:ascii="Times New Roman" w:hAnsi="Times New Roman" w:cs="Times New Roman"/>
        </w:rPr>
        <w:t xml:space="preserve"> dip,” we estimate an additional specification.</w:t>
      </w:r>
    </w:p>
    <w:p w14:paraId="65124100" w14:textId="77777777" w:rsidR="001B6FBC" w:rsidRPr="005576E1" w:rsidRDefault="001B6FBC" w:rsidP="00B77519">
      <w:pPr>
        <w:spacing w:line="480" w:lineRule="auto"/>
        <w:ind w:left="0"/>
        <w:rPr>
          <w:rFonts w:ascii="Times New Roman" w:hAnsi="Times New Roman" w:cs="Times New Roman"/>
        </w:rPr>
      </w:pPr>
    </w:p>
    <w:p w14:paraId="08547B6A" w14:textId="32FEA59F" w:rsidR="001B6FBC" w:rsidRPr="005576E1" w:rsidRDefault="00C1440C" w:rsidP="005576E1">
      <w:pPr>
        <w:spacing w:line="480" w:lineRule="auto"/>
        <w:ind w:left="0" w:firstLine="720"/>
        <w:rPr>
          <w:rFonts w:ascii="Times New Roman" w:hAnsi="Times New Roman" w:cs="Times New Roman"/>
        </w:rPr>
      </w:pPr>
      <w:r w:rsidRPr="005576E1">
        <w:rPr>
          <w:rFonts w:ascii="Times New Roman" w:hAnsi="Times New Roman" w:cs="Times New Roman"/>
        </w:rPr>
        <w:t>Given that we are more concerned with controlling for potential pretreatment bias than the timing of the TIF itself, we estimate t</w:t>
      </w:r>
      <w:r w:rsidR="009539B0" w:rsidRPr="005576E1">
        <w:rPr>
          <w:rFonts w:ascii="Times New Roman" w:hAnsi="Times New Roman" w:cs="Times New Roman"/>
        </w:rPr>
        <w:t>he following model</w:t>
      </w:r>
      <w:r w:rsidRPr="005576E1">
        <w:rPr>
          <w:rFonts w:ascii="Times New Roman" w:hAnsi="Times New Roman" w:cs="Times New Roman"/>
        </w:rPr>
        <w:t xml:space="preserve"> with</w:t>
      </w:r>
      <w:r w:rsidR="009539B0" w:rsidRPr="005576E1">
        <w:rPr>
          <w:rFonts w:ascii="Times New Roman" w:hAnsi="Times New Roman" w:cs="Times New Roman"/>
        </w:rPr>
        <w:t xml:space="preserve"> controls for each year starting from 3 years prior </w:t>
      </w:r>
      <w:r w:rsidRPr="005576E1">
        <w:rPr>
          <w:rFonts w:ascii="Times New Roman" w:hAnsi="Times New Roman" w:cs="Times New Roman"/>
        </w:rPr>
        <w:t xml:space="preserve">(t-3) </w:t>
      </w:r>
      <w:r w:rsidR="009539B0" w:rsidRPr="005576E1">
        <w:rPr>
          <w:rFonts w:ascii="Times New Roman" w:hAnsi="Times New Roman" w:cs="Times New Roman"/>
        </w:rPr>
        <w:t xml:space="preserve">to the implementation of the TIF through a 1-year </w:t>
      </w:r>
      <w:r w:rsidRPr="005576E1">
        <w:rPr>
          <w:rFonts w:ascii="Times New Roman" w:hAnsi="Times New Roman" w:cs="Times New Roman"/>
        </w:rPr>
        <w:t xml:space="preserve">lead </w:t>
      </w:r>
      <w:r w:rsidR="009539B0" w:rsidRPr="005576E1">
        <w:rPr>
          <w:rFonts w:ascii="Times New Roman" w:hAnsi="Times New Roman" w:cs="Times New Roman"/>
        </w:rPr>
        <w:t>(t + 1</w:t>
      </w:r>
      <w:r w:rsidRPr="005576E1">
        <w:rPr>
          <w:rFonts w:ascii="Times New Roman" w:hAnsi="Times New Roman" w:cs="Times New Roman"/>
        </w:rPr>
        <w:t xml:space="preserve">). Since the main independent variable is coded as 1 for all years after implementation, the coefficient on the lead term,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k+1</m:t>
            </m:r>
          </m:sub>
        </m:sSub>
      </m:oMath>
      <w:r w:rsidRPr="005576E1">
        <w:rPr>
          <w:rFonts w:ascii="Times New Roman" w:eastAsiaTheme="minorEastAsia" w:hAnsi="Times New Roman" w:cs="Times New Roman"/>
        </w:rPr>
        <w:t xml:space="preserve">, can </w:t>
      </w:r>
      <w:r w:rsidRPr="005576E1">
        <w:rPr>
          <w:rFonts w:ascii="Times New Roman" w:hAnsi="Times New Roman" w:cs="Times New Roman"/>
        </w:rPr>
        <w:t>be interpreted as the long-term impact on the dependent variable of interest</w:t>
      </w:r>
      <w:r w:rsidR="005E3EFB" w:rsidRPr="005576E1">
        <w:rPr>
          <w:rFonts w:ascii="Times New Roman" w:hAnsi="Times New Roman" w:cs="Times New Roman"/>
        </w:rPr>
        <w:t>.</w:t>
      </w:r>
    </w:p>
    <w:p w14:paraId="7FA59204" w14:textId="77777777" w:rsidR="005B44F2" w:rsidRPr="005576E1" w:rsidRDefault="005B44F2" w:rsidP="00B77519">
      <w:pPr>
        <w:spacing w:line="480" w:lineRule="auto"/>
        <w:ind w:left="0"/>
        <w:rPr>
          <w:rFonts w:ascii="Times New Roman" w:hAnsi="Times New Roman" w:cs="Times New Roman"/>
        </w:rPr>
      </w:pPr>
    </w:p>
    <w:p w14:paraId="40E2C32F" w14:textId="1AC2C32A" w:rsidR="00B84308" w:rsidRPr="005576E1" w:rsidRDefault="00D33067" w:rsidP="008A6722">
      <w:pPr>
        <w:spacing w:line="480" w:lineRule="auto"/>
        <w:ind w:left="0"/>
        <w:rPr>
          <w:rFonts w:ascii="Times New Roman"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3</m:t>
              </m:r>
            </m:e>
          </m:d>
          <m:r>
            <w:rPr>
              <w:rFonts w:ascii="Cambria Math" w:hAnsi="Cambria Math" w:cs="Times New Roman"/>
            </w:rPr>
            <m:t xml:space="preserve">           </m:t>
          </m:r>
          <m:sSub>
            <m:sSubPr>
              <m:ctrlPr>
                <w:rPr>
                  <w:rFonts w:ascii="Cambria Math" w:hAnsi="Cambria Math" w:cs="Times New Roman"/>
                  <w:i/>
                </w:rPr>
              </m:ctrlPr>
            </m:sSubPr>
            <m:e>
              <m:r>
                <m:rPr>
                  <m:sty m:val="p"/>
                </m:rPr>
                <w:rPr>
                  <w:rFonts w:ascii="Cambria Math" w:hAnsi="Cambria Math" w:cs="Times New Roman"/>
                </w:rPr>
                <m:t>ln⁡</m:t>
              </m:r>
              <m:r>
                <w:rPr>
                  <w:rFonts w:ascii="Cambria Math" w:hAnsi="Cambria Math" w:cs="Times New Roman"/>
                </w:rPr>
                <m:t>(y</m:t>
              </m:r>
            </m:e>
            <m:sub>
              <m:r>
                <w:rPr>
                  <w:rFonts w:ascii="Cambria Math" w:hAnsi="Cambria Math" w:cs="Times New Roman"/>
                </w:rPr>
                <m:t>it</m:t>
              </m:r>
            </m:sub>
          </m:sSub>
          <m:r>
            <w:rPr>
              <w:rFonts w:ascii="Cambria Math" w:hAnsi="Cambria Math" w:cs="Times New Roman"/>
            </w:rPr>
            <m:t>)</m:t>
          </m:r>
          <m:r>
            <m:rPr>
              <m:nor/>
            </m:rPr>
            <w:rPr>
              <w:rFonts w:ascii="Times New Roman" w:hAnsi="Times New Roman" w:cs="Times New Roman"/>
              <w:i/>
            </w:rPr>
            <m:t>=</m:t>
          </m:r>
          <m:nary>
            <m:naryPr>
              <m:chr m:val="∑"/>
              <m:ctrlPr>
                <w:rPr>
                  <w:rFonts w:ascii="Cambria Math" w:hAnsi="Cambria Math" w:cs="Times New Roman"/>
                  <w:i/>
                </w:rPr>
              </m:ctrlPr>
            </m:naryPr>
            <m:sub>
              <m:r>
                <w:rPr>
                  <w:rFonts w:ascii="Cambria Math" w:hAnsi="Cambria Math" w:cs="Times New Roman"/>
                </w:rPr>
                <m:t>k=t-3</m:t>
              </m:r>
            </m:sub>
            <m:sup>
              <m:r>
                <w:rPr>
                  <w:rFonts w:ascii="Cambria Math" w:hAnsi="Cambria Math" w:cs="Times New Roman"/>
                </w:rPr>
                <m:t>t+1</m:t>
              </m:r>
            </m:sup>
            <m:e>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k</m:t>
                  </m:r>
                </m:sub>
              </m:sSub>
              <m:sSub>
                <m:sSubPr>
                  <m:ctrlPr>
                    <w:rPr>
                      <w:rFonts w:ascii="Cambria Math" w:hAnsi="Cambria Math" w:cs="Times New Roman"/>
                      <w:i/>
                    </w:rPr>
                  </m:ctrlPr>
                </m:sSubPr>
                <m:e>
                  <m:r>
                    <w:rPr>
                      <w:rFonts w:ascii="Cambria Math" w:hAnsi="Cambria Math" w:cs="Times New Roman"/>
                    </w:rPr>
                    <m:t>TIF</m:t>
                  </m:r>
                </m:e>
                <m:sub>
                  <m:r>
                    <w:rPr>
                      <w:rFonts w:ascii="Cambria Math" w:hAnsi="Cambria Math" w:cs="Times New Roman"/>
                    </w:rPr>
                    <m:t>it</m:t>
                  </m:r>
                </m:sub>
              </m:sSub>
            </m:e>
          </m:nary>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δ</m:t>
              </m:r>
            </m:e>
            <m:sub>
              <m:r>
                <w:rPr>
                  <w:rFonts w:ascii="Cambria Math" w:hAnsi="Cambria Math" w:cs="Times New Roman"/>
                </w:rPr>
                <m:t>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i</m:t>
              </m:r>
            </m:sub>
          </m:sSub>
          <m:r>
            <w:rPr>
              <w:rFonts w:ascii="Cambria Math" w:hAnsi="Cambria Math" w:cs="Times New Roman"/>
            </w:rPr>
            <m:t xml:space="preserve">t+ </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it</m:t>
              </m:r>
            </m:sub>
          </m:sSub>
          <m:r>
            <w:rPr>
              <w:rFonts w:ascii="Cambria Math" w:hAnsi="Cambria Math" w:cs="Times New Roman"/>
            </w:rPr>
            <m:t xml:space="preserve">        </m:t>
          </m:r>
        </m:oMath>
      </m:oMathPara>
    </w:p>
    <w:p w14:paraId="6012D203" w14:textId="542552FD" w:rsidR="00AA1B3E" w:rsidRPr="005576E1" w:rsidRDefault="00B84308" w:rsidP="00B77519">
      <w:pPr>
        <w:spacing w:line="480" w:lineRule="auto"/>
        <w:ind w:left="0"/>
        <w:rPr>
          <w:rFonts w:ascii="Times New Roman" w:hAnsi="Times New Roman" w:cs="Times New Roman"/>
        </w:rPr>
      </w:pPr>
      <w:bookmarkStart w:id="9" w:name="_Hlk488333110"/>
      <w:r w:rsidRPr="005576E1">
        <w:rPr>
          <w:rFonts w:ascii="Times New Roman" w:hAnsi="Times New Roman" w:cs="Times New Roman"/>
        </w:rPr>
        <w:t>Graphically, the coefficients of the lead and lags produced from this estimation can be traced to create a time-path. This is discussed further in section 6.3.</w:t>
      </w:r>
    </w:p>
    <w:bookmarkEnd w:id="9"/>
    <w:p w14:paraId="4D0FA22B" w14:textId="77777777" w:rsidR="005C5118" w:rsidRPr="005576E1" w:rsidRDefault="005C5118" w:rsidP="00B77519">
      <w:pPr>
        <w:spacing w:line="480" w:lineRule="auto"/>
        <w:ind w:left="0"/>
        <w:rPr>
          <w:rFonts w:ascii="Times New Roman" w:hAnsi="Times New Roman" w:cs="Times New Roman"/>
          <w:i/>
          <w:iCs/>
        </w:rPr>
      </w:pPr>
    </w:p>
    <w:p w14:paraId="6BCD26BB" w14:textId="6551AB0A" w:rsidR="00A229F3"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4</w:t>
      </w:r>
      <w:r w:rsidR="00FA3C3D" w:rsidRPr="005576E1">
        <w:rPr>
          <w:rFonts w:ascii="Times New Roman" w:hAnsi="Times New Roman" w:cs="Times New Roman"/>
          <w:color w:val="auto"/>
        </w:rPr>
        <w:t>.4</w:t>
      </w:r>
      <w:r w:rsidR="00F76CC9" w:rsidRPr="005576E1">
        <w:rPr>
          <w:rFonts w:ascii="Times New Roman" w:hAnsi="Times New Roman" w:cs="Times New Roman"/>
          <w:color w:val="auto"/>
        </w:rPr>
        <w:t xml:space="preserve"> </w:t>
      </w:r>
      <w:r w:rsidR="00856875" w:rsidRPr="005576E1">
        <w:rPr>
          <w:rFonts w:ascii="Times New Roman" w:hAnsi="Times New Roman" w:cs="Times New Roman"/>
          <w:color w:val="auto"/>
        </w:rPr>
        <w:t xml:space="preserve">TIF Investment </w:t>
      </w:r>
    </w:p>
    <w:p w14:paraId="39B4E352" w14:textId="77777777" w:rsidR="005E3EFB" w:rsidRPr="005576E1" w:rsidRDefault="005E3EFB" w:rsidP="00B77519">
      <w:pPr>
        <w:spacing w:line="480" w:lineRule="auto"/>
        <w:ind w:left="0"/>
        <w:rPr>
          <w:rFonts w:ascii="Times New Roman" w:hAnsi="Times New Roman" w:cs="Times New Roman"/>
        </w:rPr>
      </w:pPr>
    </w:p>
    <w:p w14:paraId="3853CF57" w14:textId="781491AC" w:rsidR="00A229F3" w:rsidRPr="005576E1" w:rsidRDefault="00667B89" w:rsidP="005576E1">
      <w:pPr>
        <w:spacing w:line="480" w:lineRule="auto"/>
        <w:ind w:left="0" w:firstLine="720"/>
        <w:rPr>
          <w:rFonts w:ascii="Times New Roman" w:hAnsi="Times New Roman" w:cs="Times New Roman"/>
        </w:rPr>
      </w:pPr>
      <w:r w:rsidRPr="005576E1">
        <w:rPr>
          <w:rFonts w:ascii="Times New Roman" w:hAnsi="Times New Roman" w:cs="Times New Roman"/>
        </w:rPr>
        <w:lastRenderedPageBreak/>
        <w:t xml:space="preserve">Since </w:t>
      </w:r>
      <w:r w:rsidR="005576E1" w:rsidRPr="005576E1">
        <w:rPr>
          <w:rFonts w:ascii="Times New Roman" w:hAnsi="Times New Roman" w:cs="Times New Roman"/>
        </w:rPr>
        <w:t>Saint Louis</w:t>
      </w:r>
      <w:r w:rsidRPr="005576E1">
        <w:rPr>
          <w:rFonts w:ascii="Times New Roman" w:hAnsi="Times New Roman" w:cs="Times New Roman"/>
        </w:rPr>
        <w:t xml:space="preserve"> implements TIF at the project level,</w:t>
      </w:r>
      <w:r w:rsidR="005F2AE1" w:rsidRPr="005576E1">
        <w:rPr>
          <w:rFonts w:ascii="Times New Roman" w:hAnsi="Times New Roman" w:cs="Times New Roman"/>
        </w:rPr>
        <w:t xml:space="preserve"> the same block group could </w:t>
      </w:r>
      <w:r w:rsidRPr="005576E1">
        <w:rPr>
          <w:rFonts w:ascii="Times New Roman" w:hAnsi="Times New Roman" w:cs="Times New Roman"/>
        </w:rPr>
        <w:t>contain</w:t>
      </w:r>
      <w:r w:rsidR="005F2AE1" w:rsidRPr="005576E1">
        <w:rPr>
          <w:rFonts w:ascii="Times New Roman" w:hAnsi="Times New Roman" w:cs="Times New Roman"/>
        </w:rPr>
        <w:t xml:space="preserve"> multiple</w:t>
      </w:r>
      <w:r w:rsidRPr="005576E1">
        <w:rPr>
          <w:rFonts w:ascii="Times New Roman" w:hAnsi="Times New Roman" w:cs="Times New Roman"/>
        </w:rPr>
        <w:t xml:space="preserve"> TIF</w:t>
      </w:r>
      <w:r w:rsidR="005F2AE1" w:rsidRPr="005576E1">
        <w:rPr>
          <w:rFonts w:ascii="Times New Roman" w:hAnsi="Times New Roman" w:cs="Times New Roman"/>
        </w:rPr>
        <w:t xml:space="preserve"> projects</w:t>
      </w:r>
      <w:r w:rsidRPr="005576E1">
        <w:rPr>
          <w:rFonts w:ascii="Times New Roman" w:hAnsi="Times New Roman" w:cs="Times New Roman"/>
        </w:rPr>
        <w:t>. To control for the amount of funds being spent in a block group,</w:t>
      </w:r>
      <w:r w:rsidR="005F2AE1" w:rsidRPr="005576E1">
        <w:rPr>
          <w:rFonts w:ascii="Times New Roman" w:hAnsi="Times New Roman" w:cs="Times New Roman"/>
        </w:rPr>
        <w:t xml:space="preserve"> </w:t>
      </w:r>
      <w:r w:rsidR="00A229F3" w:rsidRPr="005576E1">
        <w:rPr>
          <w:rFonts w:ascii="Times New Roman" w:hAnsi="Times New Roman" w:cs="Times New Roman"/>
        </w:rPr>
        <w:t xml:space="preserve">we </w:t>
      </w:r>
      <w:r w:rsidRPr="005576E1">
        <w:rPr>
          <w:rFonts w:ascii="Times New Roman" w:hAnsi="Times New Roman" w:cs="Times New Roman"/>
        </w:rPr>
        <w:t xml:space="preserve">additionally </w:t>
      </w:r>
      <w:r w:rsidR="00A229F3" w:rsidRPr="005576E1">
        <w:rPr>
          <w:rFonts w:ascii="Times New Roman" w:hAnsi="Times New Roman" w:cs="Times New Roman"/>
        </w:rPr>
        <w:t xml:space="preserve">estimate the same set of models for </w:t>
      </w:r>
      <w:r w:rsidR="005576E1" w:rsidRPr="005576E1">
        <w:rPr>
          <w:rFonts w:ascii="Times New Roman" w:hAnsi="Times New Roman" w:cs="Times New Roman"/>
        </w:rPr>
        <w:t>Saint Louis</w:t>
      </w:r>
      <w:r w:rsidR="00A229F3" w:rsidRPr="005576E1">
        <w:rPr>
          <w:rFonts w:ascii="Times New Roman" w:hAnsi="Times New Roman" w:cs="Times New Roman"/>
        </w:rPr>
        <w:t xml:space="preserve"> using a measure of the cumulative total anticipated reimbursable TIF project costs as the main independent variable of interest</w:t>
      </w:r>
      <w:r w:rsidRPr="005576E1">
        <w:rPr>
          <w:rFonts w:ascii="Times New Roman" w:hAnsi="Times New Roman" w:cs="Times New Roman"/>
        </w:rPr>
        <w:t xml:space="preserve">. </w:t>
      </w:r>
      <w:r w:rsidR="006B54F7" w:rsidRPr="005576E1">
        <w:rPr>
          <w:rFonts w:ascii="Times New Roman" w:hAnsi="Times New Roman" w:cs="Times New Roman"/>
        </w:rPr>
        <w:t>This measure is to weight the various TIF designated block groups by the amount of TIF investment.</w:t>
      </w:r>
    </w:p>
    <w:p w14:paraId="56C95A39" w14:textId="41D877B2" w:rsidR="00871027" w:rsidRPr="005576E1" w:rsidRDefault="005E3EFB" w:rsidP="005576E1">
      <w:pPr>
        <w:pStyle w:val="Heading1"/>
        <w:spacing w:line="480" w:lineRule="auto"/>
        <w:rPr>
          <w:rFonts w:ascii="Times New Roman" w:hAnsi="Times New Roman" w:cs="Times New Roman"/>
          <w:color w:val="auto"/>
        </w:rPr>
      </w:pPr>
      <w:r w:rsidRPr="005576E1">
        <w:rPr>
          <w:rFonts w:ascii="Times New Roman" w:hAnsi="Times New Roman" w:cs="Times New Roman"/>
          <w:color w:val="auto"/>
        </w:rPr>
        <w:t xml:space="preserve">5. </w:t>
      </w:r>
      <w:r w:rsidR="00871027" w:rsidRPr="005576E1">
        <w:rPr>
          <w:rFonts w:ascii="Times New Roman" w:hAnsi="Times New Roman" w:cs="Times New Roman"/>
          <w:b/>
          <w:bCs/>
          <w:color w:val="auto"/>
        </w:rPr>
        <w:t>Data</w:t>
      </w:r>
      <w:r w:rsidR="00871027" w:rsidRPr="005576E1">
        <w:rPr>
          <w:rFonts w:ascii="Times New Roman" w:hAnsi="Times New Roman" w:cs="Times New Roman"/>
          <w:color w:val="auto"/>
        </w:rPr>
        <w:t xml:space="preserve"> </w:t>
      </w:r>
      <w:r w:rsidR="00BB33B2" w:rsidRPr="005576E1">
        <w:rPr>
          <w:rFonts w:ascii="Times New Roman" w:hAnsi="Times New Roman" w:cs="Times New Roman"/>
          <w:color w:val="auto"/>
        </w:rPr>
        <w:tab/>
      </w:r>
      <w:r w:rsidR="00BB33B2" w:rsidRPr="005576E1">
        <w:rPr>
          <w:rFonts w:ascii="Times New Roman" w:hAnsi="Times New Roman" w:cs="Times New Roman"/>
          <w:color w:val="auto"/>
        </w:rPr>
        <w:tab/>
      </w:r>
      <w:r w:rsidR="00BB33B2" w:rsidRPr="005576E1">
        <w:rPr>
          <w:rFonts w:ascii="Times New Roman" w:hAnsi="Times New Roman" w:cs="Times New Roman"/>
          <w:color w:val="auto"/>
        </w:rPr>
        <w:tab/>
      </w:r>
      <w:r w:rsidR="00BB33B2" w:rsidRPr="005576E1">
        <w:rPr>
          <w:rFonts w:ascii="Times New Roman" w:hAnsi="Times New Roman" w:cs="Times New Roman"/>
          <w:b/>
          <w:bCs/>
          <w:color w:val="auto"/>
        </w:rPr>
        <w:tab/>
      </w:r>
    </w:p>
    <w:p w14:paraId="05971534" w14:textId="77777777" w:rsidR="000B5C24" w:rsidRPr="005576E1" w:rsidRDefault="000B5C24" w:rsidP="00A15173">
      <w:pPr>
        <w:spacing w:line="480" w:lineRule="auto"/>
        <w:ind w:left="0" w:firstLine="720"/>
        <w:rPr>
          <w:rFonts w:ascii="Times New Roman" w:hAnsi="Times New Roman" w:cs="Times New Roman"/>
        </w:rPr>
      </w:pPr>
      <w:r w:rsidRPr="005576E1">
        <w:rPr>
          <w:rFonts w:ascii="Times New Roman" w:hAnsi="Times New Roman" w:cs="Times New Roman"/>
        </w:rPr>
        <w:t xml:space="preserve">Data from three main sources were used to construct a </w:t>
      </w:r>
      <w:r w:rsidR="0059442B" w:rsidRPr="005576E1">
        <w:rPr>
          <w:rFonts w:ascii="Times New Roman" w:hAnsi="Times New Roman" w:cs="Times New Roman"/>
        </w:rPr>
        <w:t xml:space="preserve">time series </w:t>
      </w:r>
      <w:r w:rsidRPr="005576E1">
        <w:rPr>
          <w:rFonts w:ascii="Times New Roman" w:hAnsi="Times New Roman" w:cs="Times New Roman"/>
        </w:rPr>
        <w:t>database</w:t>
      </w:r>
      <w:r w:rsidR="001F7A44" w:rsidRPr="005576E1">
        <w:rPr>
          <w:rFonts w:ascii="Times New Roman" w:hAnsi="Times New Roman" w:cs="Times New Roman"/>
        </w:rPr>
        <w:t xml:space="preserve"> by block groups</w:t>
      </w:r>
      <w:r w:rsidRPr="005576E1">
        <w:rPr>
          <w:rFonts w:ascii="Times New Roman" w:hAnsi="Times New Roman" w:cs="Times New Roman"/>
        </w:rPr>
        <w:t xml:space="preserve"> that was then used to conduct the necessary analysis.</w:t>
      </w:r>
      <w:r w:rsidR="00581314" w:rsidRPr="005576E1">
        <w:rPr>
          <w:rFonts w:ascii="Times New Roman" w:hAnsi="Times New Roman" w:cs="Times New Roman"/>
        </w:rPr>
        <w:t xml:space="preserve"> </w:t>
      </w:r>
      <w:r w:rsidR="0059442B" w:rsidRPr="005576E1">
        <w:rPr>
          <w:rFonts w:ascii="Times New Roman" w:hAnsi="Times New Roman" w:cs="Times New Roman"/>
        </w:rPr>
        <w:t xml:space="preserve"> </w:t>
      </w:r>
      <w:r w:rsidRPr="005576E1">
        <w:rPr>
          <w:rFonts w:ascii="Times New Roman" w:hAnsi="Times New Roman" w:cs="Times New Roman"/>
        </w:rPr>
        <w:t xml:space="preserve">All outcomes and measures </w:t>
      </w:r>
      <w:r w:rsidR="0059442B" w:rsidRPr="005576E1">
        <w:rPr>
          <w:rFonts w:ascii="Times New Roman" w:hAnsi="Times New Roman" w:cs="Times New Roman"/>
        </w:rPr>
        <w:t>were</w:t>
      </w:r>
      <w:r w:rsidRPr="005576E1">
        <w:rPr>
          <w:rFonts w:ascii="Times New Roman" w:hAnsi="Times New Roman" w:cs="Times New Roman"/>
        </w:rPr>
        <w:t xml:space="preserve"> assigned at the U.S. Census 2010 block group level. Block groups were used as the unit of study because there are smallest geographical unit for which sociodemographic variables of interest are available.</w:t>
      </w:r>
      <w:r w:rsidRPr="008227D3">
        <w:rPr>
          <w:rStyle w:val="FootnoteReference"/>
        </w:rPr>
        <w:footnoteReference w:id="10"/>
      </w:r>
      <w:r w:rsidRPr="005576E1">
        <w:rPr>
          <w:rFonts w:ascii="Times New Roman" w:hAnsi="Times New Roman" w:cs="Times New Roman"/>
        </w:rPr>
        <w:t xml:space="preserve"> Measurement at the block group level also allows for capturing any spillover effects TIFs may have had in their immediate vicinity. </w:t>
      </w:r>
    </w:p>
    <w:p w14:paraId="741281B1" w14:textId="57F35DCD" w:rsidR="00D954AE"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5</w:t>
      </w:r>
      <w:r w:rsidR="00F76CC9" w:rsidRPr="005576E1">
        <w:rPr>
          <w:rFonts w:ascii="Times New Roman" w:hAnsi="Times New Roman" w:cs="Times New Roman"/>
          <w:color w:val="auto"/>
        </w:rPr>
        <w:t>.</w:t>
      </w:r>
      <w:r w:rsidR="005E3EFB" w:rsidRPr="005576E1">
        <w:rPr>
          <w:rFonts w:ascii="Times New Roman" w:hAnsi="Times New Roman" w:cs="Times New Roman"/>
          <w:color w:val="auto"/>
        </w:rPr>
        <w:t>1</w:t>
      </w:r>
      <w:r w:rsidR="00F76CC9" w:rsidRPr="005576E1">
        <w:rPr>
          <w:rFonts w:ascii="Times New Roman" w:hAnsi="Times New Roman" w:cs="Times New Roman"/>
          <w:color w:val="auto"/>
        </w:rPr>
        <w:t xml:space="preserve"> </w:t>
      </w:r>
      <w:r w:rsidR="00D954AE" w:rsidRPr="005576E1">
        <w:rPr>
          <w:rFonts w:ascii="Times New Roman" w:hAnsi="Times New Roman" w:cs="Times New Roman"/>
          <w:color w:val="auto"/>
        </w:rPr>
        <w:t>TIF</w:t>
      </w:r>
      <w:r w:rsidR="00756D95" w:rsidRPr="005576E1">
        <w:rPr>
          <w:rFonts w:ascii="Times New Roman" w:hAnsi="Times New Roman" w:cs="Times New Roman"/>
          <w:color w:val="auto"/>
        </w:rPr>
        <w:t xml:space="preserve"> Information</w:t>
      </w:r>
    </w:p>
    <w:p w14:paraId="05064995" w14:textId="5F557E5F" w:rsidR="00D954AE" w:rsidRPr="005576E1" w:rsidRDefault="00D954AE" w:rsidP="00A15173">
      <w:pPr>
        <w:spacing w:line="480" w:lineRule="auto"/>
        <w:ind w:left="0" w:firstLine="720"/>
        <w:rPr>
          <w:rFonts w:ascii="Times New Roman" w:hAnsi="Times New Roman" w:cs="Times New Roman"/>
        </w:rPr>
      </w:pPr>
      <w:r w:rsidRPr="005576E1">
        <w:rPr>
          <w:rFonts w:ascii="Times New Roman" w:hAnsi="Times New Roman" w:cs="Times New Roman"/>
        </w:rPr>
        <w:t xml:space="preserve">This study focuses on TIF activity in the state of Missouri, specifically in the cities of Kansas City and </w:t>
      </w:r>
      <w:r w:rsidR="005576E1" w:rsidRPr="005576E1">
        <w:rPr>
          <w:rFonts w:ascii="Times New Roman" w:hAnsi="Times New Roman" w:cs="Times New Roman"/>
        </w:rPr>
        <w:t>Saint Louis</w:t>
      </w:r>
      <w:r w:rsidRPr="005576E1">
        <w:rPr>
          <w:rFonts w:ascii="Times New Roman" w:hAnsi="Times New Roman" w:cs="Times New Roman"/>
        </w:rPr>
        <w:t>.</w:t>
      </w:r>
      <w:r w:rsidRPr="008227D3">
        <w:rPr>
          <w:rStyle w:val="FootnoteReference"/>
        </w:rPr>
        <w:footnoteReference w:id="11"/>
      </w:r>
      <w:r w:rsidR="006E6D0B" w:rsidRPr="005576E1">
        <w:rPr>
          <w:rFonts w:ascii="Times New Roman" w:hAnsi="Times New Roman" w:cs="Times New Roman"/>
        </w:rPr>
        <w:t xml:space="preserve">  To construct our primary independent variable of interest and to ascertain which block groups were treated with a TIF and which ones would serve as controls, we needed information on both the spatial location of each TIF district as well as the year it was designated (as well as TIF investment levels in some cases). </w:t>
      </w:r>
      <w:r w:rsidRPr="005576E1">
        <w:rPr>
          <w:rFonts w:ascii="Times New Roman" w:hAnsi="Times New Roman" w:cs="Times New Roman"/>
        </w:rPr>
        <w:t xml:space="preserve"> Prior to 2013, the Department of Economic Development was responsible for collecting and reporting Tax Increment Financing Activity and publishing information in annual reports. This responsibility was transferred to the Department of Revenue after the signing of </w:t>
      </w:r>
      <w:r w:rsidRPr="005576E1">
        <w:rPr>
          <w:rFonts w:ascii="Times New Roman" w:hAnsi="Times New Roman" w:cs="Times New Roman"/>
        </w:rPr>
        <w:lastRenderedPageBreak/>
        <w:t>executive order 13-02. Information on Tax Increment Finance activity for both cities were obtained through the Department of Economic Development and Department of Revenue TIF annual reports.</w:t>
      </w:r>
      <w:r w:rsidRPr="008227D3">
        <w:rPr>
          <w:rStyle w:val="FootnoteReference"/>
        </w:rPr>
        <w:footnoteReference w:id="12"/>
      </w:r>
      <w:r w:rsidRPr="005576E1">
        <w:rPr>
          <w:rFonts w:ascii="Times New Roman" w:hAnsi="Times New Roman" w:cs="Times New Roman"/>
        </w:rPr>
        <w:t xml:space="preserve"> </w:t>
      </w:r>
    </w:p>
    <w:p w14:paraId="3665ABDC" w14:textId="78829F01" w:rsidR="00D954AE" w:rsidRPr="005576E1" w:rsidRDefault="006E6D0B" w:rsidP="00A15173">
      <w:pPr>
        <w:spacing w:line="480" w:lineRule="auto"/>
        <w:ind w:left="0" w:firstLine="720"/>
        <w:rPr>
          <w:rFonts w:ascii="Times New Roman" w:hAnsi="Times New Roman" w:cs="Times New Roman"/>
          <w:spacing w:val="1"/>
        </w:rPr>
      </w:pPr>
      <w:r w:rsidRPr="005576E1">
        <w:rPr>
          <w:rFonts w:ascii="Times New Roman" w:hAnsi="Times New Roman" w:cs="Times New Roman"/>
        </w:rPr>
        <w:t xml:space="preserve">For </w:t>
      </w:r>
      <w:r w:rsidR="00D954AE" w:rsidRPr="005576E1">
        <w:rPr>
          <w:rFonts w:ascii="Times New Roman" w:hAnsi="Times New Roman" w:cs="Times New Roman"/>
        </w:rPr>
        <w:t xml:space="preserve">Kansas City, </w:t>
      </w:r>
      <w:r w:rsidRPr="005576E1">
        <w:rPr>
          <w:rFonts w:ascii="Times New Roman" w:hAnsi="Times New Roman" w:cs="Times New Roman"/>
        </w:rPr>
        <w:t xml:space="preserve">we obtained </w:t>
      </w:r>
      <w:r w:rsidR="00D954AE" w:rsidRPr="005576E1">
        <w:rPr>
          <w:rFonts w:ascii="Times New Roman" w:hAnsi="Times New Roman" w:cs="Times New Roman"/>
        </w:rPr>
        <w:t xml:space="preserve">the spatial boundaries of each TIF district from the city’s office of economic development </w:t>
      </w:r>
      <w:r w:rsidRPr="005576E1">
        <w:rPr>
          <w:rFonts w:ascii="Times New Roman" w:hAnsi="Times New Roman" w:cs="Times New Roman"/>
        </w:rPr>
        <w:t xml:space="preserve">web </w:t>
      </w:r>
      <w:r w:rsidR="00D954AE" w:rsidRPr="005576E1">
        <w:rPr>
          <w:rFonts w:ascii="Times New Roman" w:hAnsi="Times New Roman" w:cs="Times New Roman"/>
        </w:rPr>
        <w:t>portal.</w:t>
      </w:r>
      <w:r w:rsidR="00D954AE" w:rsidRPr="008227D3">
        <w:rPr>
          <w:rStyle w:val="FootnoteReference"/>
        </w:rPr>
        <w:footnoteReference w:id="13"/>
      </w:r>
      <w:r w:rsidR="00D954AE" w:rsidRPr="005576E1">
        <w:rPr>
          <w:rFonts w:ascii="Times New Roman" w:hAnsi="Times New Roman" w:cs="Times New Roman"/>
        </w:rPr>
        <w:t xml:space="preserve"> Using GIS, TIF districts were then matched and aggregated to the block group</w:t>
      </w:r>
      <w:r w:rsidR="00A5144B" w:rsidRPr="005576E1">
        <w:rPr>
          <w:rFonts w:ascii="Times New Roman" w:hAnsi="Times New Roman" w:cs="Times New Roman"/>
        </w:rPr>
        <w:t xml:space="preserve"> </w:t>
      </w:r>
      <w:r w:rsidR="00D954AE" w:rsidRPr="005576E1">
        <w:rPr>
          <w:rFonts w:ascii="Times New Roman" w:hAnsi="Times New Roman" w:cs="Times New Roman"/>
        </w:rPr>
        <w:t>level, recording the</w:t>
      </w:r>
      <w:r w:rsidR="00D954AE" w:rsidRPr="005576E1">
        <w:rPr>
          <w:rFonts w:ascii="Times New Roman" w:hAnsi="Times New Roman" w:cs="Times New Roman"/>
          <w:noProof/>
        </w:rPr>
        <w:t xml:space="preserve"> date of designation in the GIS shapefiles</w:t>
      </w:r>
      <w:r w:rsidR="00D954AE" w:rsidRPr="005576E1">
        <w:rPr>
          <w:rFonts w:ascii="Times New Roman" w:hAnsi="Times New Roman" w:cs="Times New Roman"/>
        </w:rPr>
        <w:t>. In some cases, very small portions of block</w:t>
      </w:r>
      <w:r w:rsidR="00A5144B" w:rsidRPr="005576E1">
        <w:rPr>
          <w:rFonts w:ascii="Times New Roman" w:hAnsi="Times New Roman" w:cs="Times New Roman"/>
        </w:rPr>
        <w:t xml:space="preserve"> </w:t>
      </w:r>
      <w:r w:rsidR="00D954AE" w:rsidRPr="005576E1">
        <w:rPr>
          <w:rFonts w:ascii="Times New Roman" w:hAnsi="Times New Roman" w:cs="Times New Roman"/>
        </w:rPr>
        <w:t>intersected a TIF district. In other instances, block groups were intersected by multiple TIF districts. To address the possibility of overstating degree of treatment, we establish the criteria that at least 50 percent of a block group’s area must be within a given TIF district. We then overlay the TIF boundaries with the census block centroids.</w:t>
      </w:r>
      <w:r w:rsidR="00D954AE" w:rsidRPr="005576E1">
        <w:rPr>
          <w:rFonts w:ascii="Times New Roman" w:hAnsi="Times New Roman" w:cs="Times New Roman"/>
          <w:noProof/>
        </w:rPr>
        <w:t xml:space="preserve"> In cases where multiple TIFs overlapped the same block group, information the TIF</w:t>
      </w:r>
      <w:r w:rsidR="00F14E58" w:rsidRPr="005576E1">
        <w:rPr>
          <w:rFonts w:ascii="Times New Roman" w:hAnsi="Times New Roman" w:cs="Times New Roman"/>
          <w:noProof/>
        </w:rPr>
        <w:t xml:space="preserve"> district</w:t>
      </w:r>
      <w:r w:rsidR="00D954AE" w:rsidRPr="005576E1">
        <w:rPr>
          <w:rFonts w:ascii="Times New Roman" w:hAnsi="Times New Roman" w:cs="Times New Roman"/>
          <w:noProof/>
        </w:rPr>
        <w:t xml:space="preserve"> with the highest area coverage </w:t>
      </w:r>
      <w:r w:rsidR="00F14E58" w:rsidRPr="005576E1">
        <w:rPr>
          <w:rFonts w:ascii="Times New Roman" w:hAnsi="Times New Roman" w:cs="Times New Roman"/>
          <w:noProof/>
        </w:rPr>
        <w:t xml:space="preserve">of the block group </w:t>
      </w:r>
      <w:r w:rsidRPr="005576E1">
        <w:rPr>
          <w:rFonts w:ascii="Times New Roman" w:hAnsi="Times New Roman" w:cs="Times New Roman"/>
          <w:noProof/>
        </w:rPr>
        <w:t xml:space="preserve">is </w:t>
      </w:r>
      <w:r w:rsidR="00F14E58" w:rsidRPr="005576E1">
        <w:rPr>
          <w:rFonts w:ascii="Times New Roman" w:hAnsi="Times New Roman" w:cs="Times New Roman"/>
          <w:noProof/>
        </w:rPr>
        <w:t>used.</w:t>
      </w:r>
      <w:r w:rsidR="00EF5C7D" w:rsidRPr="005576E1">
        <w:rPr>
          <w:rFonts w:ascii="Times New Roman" w:hAnsi="Times New Roman" w:cs="Times New Roman"/>
          <w:noProof/>
        </w:rPr>
        <w:t xml:space="preserve"> Out of the </w:t>
      </w:r>
      <w:r w:rsidR="00EF5C7D" w:rsidRPr="005576E1">
        <w:rPr>
          <w:rFonts w:ascii="Times New Roman" w:hAnsi="Times New Roman" w:cs="Times New Roman"/>
          <w:spacing w:val="1"/>
        </w:rPr>
        <w:t>528 block groups in Kansas City 141 were considered to have been</w:t>
      </w:r>
      <w:r w:rsidR="00EF5C7D" w:rsidRPr="005576E1">
        <w:rPr>
          <w:rFonts w:ascii="Times New Roman" w:hAnsi="Times New Roman" w:cs="Times New Roman"/>
          <w:noProof/>
        </w:rPr>
        <w:t xml:space="preserve"> “TIFed”.</w:t>
      </w:r>
      <w:r w:rsidR="00EF5C7D" w:rsidRPr="005576E1">
        <w:rPr>
          <w:rFonts w:ascii="Times New Roman" w:hAnsi="Times New Roman" w:cs="Times New Roman"/>
          <w:spacing w:val="1"/>
        </w:rPr>
        <w:t xml:space="preserve"> </w:t>
      </w:r>
      <w:r w:rsidR="00D954AE" w:rsidRPr="005576E1">
        <w:rPr>
          <w:rFonts w:ascii="Times New Roman" w:hAnsi="Times New Roman" w:cs="Times New Roman"/>
        </w:rPr>
        <w:t xml:space="preserve">In </w:t>
      </w:r>
      <w:r w:rsidR="005576E1" w:rsidRPr="005576E1">
        <w:rPr>
          <w:rFonts w:ascii="Times New Roman" w:hAnsi="Times New Roman" w:cs="Times New Roman"/>
        </w:rPr>
        <w:t>Saint Louis</w:t>
      </w:r>
      <w:r w:rsidR="00D954AE" w:rsidRPr="005576E1">
        <w:rPr>
          <w:rFonts w:ascii="Times New Roman" w:hAnsi="Times New Roman" w:cs="Times New Roman"/>
        </w:rPr>
        <w:t xml:space="preserve">, the procedure was slightly different as TIFs are assigned at a property level instead of by district. TIF properties were geocoded in GIS and information was aggregated to the block group level. Addresses for TIF properties were obtained from </w:t>
      </w:r>
      <w:r w:rsidR="00D954AE" w:rsidRPr="005576E1">
        <w:rPr>
          <w:rFonts w:ascii="Times New Roman" w:hAnsi="Times New Roman" w:cs="Times New Roman"/>
          <w:i/>
        </w:rPr>
        <w:t>Better Together</w:t>
      </w:r>
      <w:r w:rsidR="00D954AE" w:rsidRPr="005576E1">
        <w:rPr>
          <w:rFonts w:ascii="Times New Roman" w:hAnsi="Times New Roman" w:cs="Times New Roman"/>
        </w:rPr>
        <w:t>.</w:t>
      </w:r>
      <w:r w:rsidR="00D954AE" w:rsidRPr="008227D3">
        <w:rPr>
          <w:rStyle w:val="FootnoteReference"/>
        </w:rPr>
        <w:footnoteReference w:id="14"/>
      </w:r>
      <w:r w:rsidR="00D954AE" w:rsidRPr="005576E1">
        <w:rPr>
          <w:rFonts w:ascii="Times New Roman" w:hAnsi="Times New Roman" w:cs="Times New Roman"/>
          <w:noProof/>
        </w:rPr>
        <w:t xml:space="preserve">  Block groups containing one or more properties that were tax increment financed were considered to have received a TIF</w:t>
      </w:r>
      <w:r w:rsidR="00EF5C7D" w:rsidRPr="005576E1">
        <w:rPr>
          <w:rFonts w:ascii="Times New Roman" w:hAnsi="Times New Roman" w:cs="Times New Roman"/>
          <w:noProof/>
        </w:rPr>
        <w:t>. Out of 1,054 block groups, 92 contained TIF projects.</w:t>
      </w:r>
    </w:p>
    <w:p w14:paraId="231DAC8C" w14:textId="06F12CE6" w:rsidR="000B5C24"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5</w:t>
      </w:r>
      <w:r w:rsidR="005E3EFB" w:rsidRPr="005576E1">
        <w:rPr>
          <w:rFonts w:ascii="Times New Roman" w:hAnsi="Times New Roman" w:cs="Times New Roman"/>
          <w:color w:val="auto"/>
        </w:rPr>
        <w:t>.2</w:t>
      </w:r>
      <w:r w:rsidR="00F76CC9" w:rsidRPr="005576E1">
        <w:rPr>
          <w:rFonts w:ascii="Times New Roman" w:hAnsi="Times New Roman" w:cs="Times New Roman"/>
          <w:color w:val="auto"/>
        </w:rPr>
        <w:t xml:space="preserve"> </w:t>
      </w:r>
      <w:r w:rsidR="006E6D0B" w:rsidRPr="005576E1">
        <w:rPr>
          <w:rFonts w:ascii="Times New Roman" w:hAnsi="Times New Roman" w:cs="Times New Roman"/>
          <w:color w:val="auto"/>
        </w:rPr>
        <w:t>National Establishment Time Series (</w:t>
      </w:r>
      <w:r w:rsidR="005E78F4" w:rsidRPr="005576E1">
        <w:rPr>
          <w:rFonts w:ascii="Times New Roman" w:hAnsi="Times New Roman" w:cs="Times New Roman"/>
          <w:color w:val="auto"/>
        </w:rPr>
        <w:t>NETS</w:t>
      </w:r>
      <w:r w:rsidR="006E6D0B" w:rsidRPr="005576E1">
        <w:rPr>
          <w:rFonts w:ascii="Times New Roman" w:hAnsi="Times New Roman" w:cs="Times New Roman"/>
          <w:color w:val="auto"/>
        </w:rPr>
        <w:t>)</w:t>
      </w:r>
    </w:p>
    <w:p w14:paraId="0BF5D9A5" w14:textId="70AC781E" w:rsidR="00121CFA" w:rsidRPr="005576E1" w:rsidRDefault="00BB33B2" w:rsidP="00A15173">
      <w:pPr>
        <w:spacing w:line="480" w:lineRule="auto"/>
        <w:ind w:left="0" w:firstLine="720"/>
        <w:rPr>
          <w:rFonts w:ascii="Times New Roman" w:hAnsi="Times New Roman" w:cs="Times New Roman"/>
        </w:rPr>
      </w:pPr>
      <w:r w:rsidRPr="005576E1">
        <w:rPr>
          <w:rFonts w:ascii="Times New Roman" w:hAnsi="Times New Roman" w:cs="Times New Roman"/>
        </w:rPr>
        <w:t>As TIFs are a tool generally meant to promote economic development, w</w:t>
      </w:r>
      <w:r w:rsidR="00426C57" w:rsidRPr="005576E1">
        <w:rPr>
          <w:rFonts w:ascii="Times New Roman" w:hAnsi="Times New Roman" w:cs="Times New Roman"/>
        </w:rPr>
        <w:t xml:space="preserve">e examine the impact on </w:t>
      </w:r>
      <w:r w:rsidRPr="005576E1">
        <w:rPr>
          <w:rFonts w:ascii="Times New Roman" w:hAnsi="Times New Roman" w:cs="Times New Roman"/>
        </w:rPr>
        <w:t>employment</w:t>
      </w:r>
      <w:r w:rsidR="00426C57" w:rsidRPr="005576E1">
        <w:rPr>
          <w:rFonts w:ascii="Times New Roman" w:hAnsi="Times New Roman" w:cs="Times New Roman"/>
        </w:rPr>
        <w:t xml:space="preserve"> (count)</w:t>
      </w:r>
      <w:r w:rsidRPr="005576E1">
        <w:rPr>
          <w:rFonts w:ascii="Times New Roman" w:hAnsi="Times New Roman" w:cs="Times New Roman"/>
        </w:rPr>
        <w:t>, sales</w:t>
      </w:r>
      <w:r w:rsidR="00426C57" w:rsidRPr="005576E1">
        <w:rPr>
          <w:rFonts w:ascii="Times New Roman" w:hAnsi="Times New Roman" w:cs="Times New Roman"/>
        </w:rPr>
        <w:t xml:space="preserve"> ($)</w:t>
      </w:r>
      <w:r w:rsidRPr="005576E1">
        <w:rPr>
          <w:rFonts w:ascii="Times New Roman" w:hAnsi="Times New Roman" w:cs="Times New Roman"/>
        </w:rPr>
        <w:t xml:space="preserve">, and the number of establishments </w:t>
      </w:r>
      <w:r w:rsidR="005E78F4" w:rsidRPr="005576E1">
        <w:rPr>
          <w:rFonts w:ascii="Times New Roman" w:hAnsi="Times New Roman" w:cs="Times New Roman"/>
        </w:rPr>
        <w:t xml:space="preserve">by industry </w:t>
      </w:r>
      <w:r w:rsidRPr="005576E1">
        <w:rPr>
          <w:rFonts w:ascii="Times New Roman" w:hAnsi="Times New Roman" w:cs="Times New Roman"/>
        </w:rPr>
        <w:t xml:space="preserve">using information from the </w:t>
      </w:r>
      <w:r w:rsidR="001F7A44" w:rsidRPr="005576E1">
        <w:rPr>
          <w:rFonts w:ascii="Times New Roman" w:hAnsi="Times New Roman" w:cs="Times New Roman"/>
        </w:rPr>
        <w:t>National Establishment Time-</w:t>
      </w:r>
      <w:r w:rsidR="00EF5C7D" w:rsidRPr="005576E1">
        <w:rPr>
          <w:rFonts w:ascii="Times New Roman" w:hAnsi="Times New Roman" w:cs="Times New Roman"/>
        </w:rPr>
        <w:t>series (NETS) database. The NETS</w:t>
      </w:r>
      <w:r w:rsidR="001F7A44" w:rsidRPr="005576E1">
        <w:rPr>
          <w:rFonts w:ascii="Times New Roman" w:hAnsi="Times New Roman" w:cs="Times New Roman"/>
        </w:rPr>
        <w:t xml:space="preserve"> is a longitudinal dataset produced by Walls and Associates and based </w:t>
      </w:r>
      <w:r w:rsidR="009B5542" w:rsidRPr="005576E1">
        <w:rPr>
          <w:rFonts w:ascii="Times New Roman" w:hAnsi="Times New Roman" w:cs="Times New Roman"/>
        </w:rPr>
        <w:t>on annual</w:t>
      </w:r>
      <w:r w:rsidR="001F7A44" w:rsidRPr="005576E1">
        <w:rPr>
          <w:rFonts w:ascii="Times New Roman" w:hAnsi="Times New Roman" w:cs="Times New Roman"/>
        </w:rPr>
        <w:t xml:space="preserve"> snapshots of the Dun and Bradstreet Inc. (D&amp;B) business listing and credit rating service.</w:t>
      </w:r>
      <w:r w:rsidR="00121CFA" w:rsidRPr="005576E1">
        <w:rPr>
          <w:rFonts w:ascii="Times New Roman" w:hAnsi="Times New Roman" w:cs="Times New Roman"/>
        </w:rPr>
        <w:t xml:space="preserve"> The survey is essentially </w:t>
      </w:r>
      <w:r w:rsidR="00821394" w:rsidRPr="005576E1">
        <w:rPr>
          <w:rFonts w:ascii="Times New Roman" w:hAnsi="Times New Roman" w:cs="Times New Roman"/>
        </w:rPr>
        <w:t xml:space="preserve">a census of business establishments in the U.S. </w:t>
      </w:r>
      <w:r w:rsidR="00821394" w:rsidRPr="005576E1">
        <w:rPr>
          <w:rFonts w:ascii="Times New Roman" w:hAnsi="Times New Roman" w:cs="Times New Roman"/>
        </w:rPr>
        <w:lastRenderedPageBreak/>
        <w:t xml:space="preserve">as it contains detailed information on employment, sales, primary industry, and birth and death year of businesses at the establishment level. </w:t>
      </w:r>
      <w:bookmarkStart w:id="10" w:name="_Hlk488331036"/>
      <w:r w:rsidR="00C94800" w:rsidRPr="005576E1">
        <w:rPr>
          <w:rFonts w:ascii="Times New Roman" w:hAnsi="Times New Roman" w:cs="Times New Roman"/>
        </w:rPr>
        <w:t>The data is self-reported by the firms surveyed. It is important to note this database cannot be used as an official measure of city employment nor to measure an official growth in employment.</w:t>
      </w:r>
    </w:p>
    <w:bookmarkEnd w:id="10"/>
    <w:p w14:paraId="1C258886" w14:textId="0FAD8660" w:rsidR="00821394" w:rsidRPr="005576E1" w:rsidRDefault="00821394" w:rsidP="00A15173">
      <w:pPr>
        <w:spacing w:line="480" w:lineRule="auto"/>
        <w:ind w:left="0" w:firstLine="720"/>
        <w:rPr>
          <w:rFonts w:ascii="Times New Roman" w:hAnsi="Times New Roman" w:cs="Times New Roman"/>
        </w:rPr>
      </w:pPr>
      <w:r w:rsidRPr="005576E1">
        <w:rPr>
          <w:rFonts w:ascii="Times New Roman" w:hAnsi="Times New Roman" w:cs="Times New Roman"/>
        </w:rPr>
        <w:t xml:space="preserve">Each record also contains detailed geographic information for each establishment’s current or final location and a detailed inventory of all establishment moves. To generate accurate block-group level counts of employment and the number of existing establishments in each year, each record in Kansas City as well as </w:t>
      </w:r>
      <w:r w:rsidR="005576E1" w:rsidRPr="005576E1">
        <w:rPr>
          <w:rFonts w:ascii="Times New Roman" w:hAnsi="Times New Roman" w:cs="Times New Roman"/>
        </w:rPr>
        <w:t>Saint Louis</w:t>
      </w:r>
      <w:r w:rsidRPr="005576E1">
        <w:rPr>
          <w:rFonts w:ascii="Times New Roman" w:hAnsi="Times New Roman" w:cs="Times New Roman"/>
        </w:rPr>
        <w:t xml:space="preserve"> (city and county) was geocoded based on its </w:t>
      </w:r>
      <w:r w:rsidR="00121CFA" w:rsidRPr="005576E1">
        <w:rPr>
          <w:rFonts w:ascii="Times New Roman" w:hAnsi="Times New Roman" w:cs="Times New Roman"/>
        </w:rPr>
        <w:t>listed latitude and longitude. These records were then associated with a unique block group for each year that the establishment operated in that location. Using the records of establishments that moved, the</w:t>
      </w:r>
      <w:r w:rsidRPr="005576E1">
        <w:rPr>
          <w:rFonts w:ascii="Times New Roman" w:hAnsi="Times New Roman" w:cs="Times New Roman"/>
        </w:rPr>
        <w:t xml:space="preserve"> subset of </w:t>
      </w:r>
      <w:r w:rsidR="00121CFA" w:rsidRPr="005576E1">
        <w:rPr>
          <w:rFonts w:ascii="Times New Roman" w:hAnsi="Times New Roman" w:cs="Times New Roman"/>
        </w:rPr>
        <w:t>establishments</w:t>
      </w:r>
      <w:r w:rsidRPr="005576E1">
        <w:rPr>
          <w:rFonts w:ascii="Times New Roman" w:hAnsi="Times New Roman" w:cs="Times New Roman"/>
        </w:rPr>
        <w:t xml:space="preserve"> that moved one or</w:t>
      </w:r>
      <w:r w:rsidR="00121CFA" w:rsidRPr="005576E1">
        <w:rPr>
          <w:rFonts w:ascii="Times New Roman" w:hAnsi="Times New Roman" w:cs="Times New Roman"/>
        </w:rPr>
        <w:t xml:space="preserve"> more times during the 1990-</w:t>
      </w:r>
      <w:r w:rsidR="00680F42" w:rsidRPr="005576E1">
        <w:rPr>
          <w:rFonts w:ascii="Times New Roman" w:hAnsi="Times New Roman" w:cs="Times New Roman"/>
        </w:rPr>
        <w:t>2012</w:t>
      </w:r>
      <w:r w:rsidR="006E6D0B" w:rsidRPr="005576E1">
        <w:rPr>
          <w:rFonts w:ascii="Times New Roman" w:hAnsi="Times New Roman" w:cs="Times New Roman"/>
        </w:rPr>
        <w:t xml:space="preserve"> </w:t>
      </w:r>
      <w:r w:rsidRPr="005576E1">
        <w:rPr>
          <w:rFonts w:ascii="Times New Roman" w:hAnsi="Times New Roman" w:cs="Times New Roman"/>
        </w:rPr>
        <w:t>period were also geocoded based on their origin latitude and longitude information on the move table of the NETS</w:t>
      </w:r>
      <w:r w:rsidR="00121CFA" w:rsidRPr="005576E1">
        <w:rPr>
          <w:rFonts w:ascii="Times New Roman" w:hAnsi="Times New Roman" w:cs="Times New Roman"/>
        </w:rPr>
        <w:t xml:space="preserve">. These records were tracked and geocoded </w:t>
      </w:r>
      <w:r w:rsidRPr="005576E1">
        <w:rPr>
          <w:rFonts w:ascii="Times New Roman" w:hAnsi="Times New Roman" w:cs="Times New Roman"/>
        </w:rPr>
        <w:t xml:space="preserve">to uniquely identify the place-year combination of each record. </w:t>
      </w:r>
    </w:p>
    <w:p w14:paraId="1ABC1E02" w14:textId="6D5438DC" w:rsidR="00821394" w:rsidRPr="005576E1" w:rsidRDefault="00821394" w:rsidP="00B77519">
      <w:pPr>
        <w:spacing w:line="480" w:lineRule="auto"/>
        <w:ind w:left="0"/>
        <w:rPr>
          <w:rFonts w:ascii="Times New Roman" w:hAnsi="Times New Roman" w:cs="Times New Roman"/>
        </w:rPr>
      </w:pPr>
    </w:p>
    <w:p w14:paraId="1A268C23" w14:textId="787DA9CD" w:rsidR="005E3EFB" w:rsidRPr="005576E1" w:rsidRDefault="005E3EFB"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 xml:space="preserve">5.3 </w:t>
      </w:r>
      <w:r w:rsidR="00A15173">
        <w:rPr>
          <w:rFonts w:ascii="Times New Roman" w:hAnsi="Times New Roman" w:cs="Times New Roman"/>
          <w:color w:val="auto"/>
        </w:rPr>
        <w:t xml:space="preserve">US </w:t>
      </w:r>
      <w:r w:rsidRPr="005576E1">
        <w:rPr>
          <w:rFonts w:ascii="Times New Roman" w:hAnsi="Times New Roman" w:cs="Times New Roman"/>
          <w:color w:val="auto"/>
        </w:rPr>
        <w:t xml:space="preserve">Census </w:t>
      </w:r>
      <w:r w:rsidR="00A15173">
        <w:rPr>
          <w:rFonts w:ascii="Times New Roman" w:hAnsi="Times New Roman" w:cs="Times New Roman"/>
          <w:color w:val="auto"/>
        </w:rPr>
        <w:t>Data</w:t>
      </w:r>
    </w:p>
    <w:p w14:paraId="53DACF04" w14:textId="5AB3B453" w:rsidR="005E3EFB" w:rsidRPr="005576E1" w:rsidRDefault="005E3EFB" w:rsidP="00A15173">
      <w:pPr>
        <w:spacing w:line="480" w:lineRule="auto"/>
        <w:ind w:left="0" w:firstLine="720"/>
        <w:rPr>
          <w:rFonts w:ascii="Times New Roman" w:hAnsi="Times New Roman" w:cs="Times New Roman"/>
        </w:rPr>
      </w:pPr>
      <w:r w:rsidRPr="005576E1">
        <w:rPr>
          <w:rFonts w:ascii="Times New Roman" w:hAnsi="Times New Roman" w:cs="Times New Roman"/>
        </w:rPr>
        <w:t xml:space="preserve">We used 1990 US Census data at the block group level in order to establish a baseline comparison for the propensity score weighting technique.  We chose 1990, as it was prior to the vast majority of TIF designations in our case cities and we therefore could rely on these figures for an assessment of pre-treatment existing conditions.  Census-based information on demographics including race, percent employment in jobs with wages that exceed the community average, as well as measures of neighborhood-distress. These include measures such as poverty rates, property use indicators as well as other indicators associated with neighborhood decline based on evidence in the literature (a full list of indicator variables is available in Table </w:t>
      </w:r>
      <w:r w:rsidR="00A15173">
        <w:rPr>
          <w:rFonts w:ascii="Times New Roman" w:hAnsi="Times New Roman" w:cs="Times New Roman"/>
        </w:rPr>
        <w:t>1</w:t>
      </w:r>
      <w:r w:rsidRPr="005576E1">
        <w:rPr>
          <w:rFonts w:ascii="Times New Roman" w:hAnsi="Times New Roman" w:cs="Times New Roman"/>
        </w:rPr>
        <w:t>).</w:t>
      </w:r>
    </w:p>
    <w:p w14:paraId="0C449E0E" w14:textId="77777777" w:rsidR="005E3EFB" w:rsidRPr="005576E1" w:rsidRDefault="005E3EFB" w:rsidP="00B77519">
      <w:pPr>
        <w:spacing w:line="480" w:lineRule="auto"/>
        <w:ind w:left="0"/>
        <w:rPr>
          <w:rFonts w:ascii="Times New Roman" w:hAnsi="Times New Roman" w:cs="Times New Roman"/>
        </w:rPr>
      </w:pPr>
    </w:p>
    <w:p w14:paraId="3F702B25" w14:textId="77777777" w:rsidR="005E3EFB" w:rsidRPr="005576E1" w:rsidRDefault="005E3EFB" w:rsidP="00A15173">
      <w:pPr>
        <w:spacing w:line="480" w:lineRule="auto"/>
        <w:ind w:left="0" w:firstLine="720"/>
        <w:rPr>
          <w:rFonts w:ascii="Times New Roman" w:hAnsi="Times New Roman" w:cs="Times New Roman"/>
        </w:rPr>
      </w:pPr>
      <w:r w:rsidRPr="005576E1">
        <w:rPr>
          <w:rFonts w:ascii="Times New Roman" w:hAnsi="Times New Roman" w:cs="Times New Roman"/>
        </w:rPr>
        <w:lastRenderedPageBreak/>
        <w:t>We also include a measure for the distance in meters from each block group’s centroid to the respective central business district. US Census 2010 block groups were then matched to those in 1990. The IPUMS database has 1990 census information reconfigured to 2000 boundaries. Census 2010 block centroids were matched to 2000 block groups and are given their attributes. If block groups split, they are given the same attributes as the centroids for both 2010 block groups originate in the same 2000 block group. If block groups consolidate, they are given the attributes of the block group where the centroid falls.</w:t>
      </w:r>
    </w:p>
    <w:p w14:paraId="0A1D0289" w14:textId="1D967E17" w:rsidR="007A3B6B"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5</w:t>
      </w:r>
      <w:r w:rsidR="00F76CC9" w:rsidRPr="005576E1">
        <w:rPr>
          <w:rFonts w:ascii="Times New Roman" w:hAnsi="Times New Roman" w:cs="Times New Roman"/>
          <w:color w:val="auto"/>
        </w:rPr>
        <w:t xml:space="preserve">.4 </w:t>
      </w:r>
      <w:r w:rsidR="007A3B6B" w:rsidRPr="005576E1">
        <w:rPr>
          <w:rFonts w:ascii="Times New Roman" w:hAnsi="Times New Roman" w:cs="Times New Roman"/>
          <w:color w:val="auto"/>
        </w:rPr>
        <w:t>Descriptive Statistics</w:t>
      </w:r>
    </w:p>
    <w:p w14:paraId="15F6E7D6" w14:textId="43951C21" w:rsidR="00CF36E6" w:rsidRPr="005576E1" w:rsidRDefault="00A15173" w:rsidP="00A15173">
      <w:pPr>
        <w:tabs>
          <w:tab w:val="left" w:pos="720"/>
        </w:tabs>
        <w:spacing w:line="480" w:lineRule="auto"/>
        <w:ind w:left="0"/>
        <w:rPr>
          <w:rFonts w:ascii="Times New Roman" w:hAnsi="Times New Roman" w:cs="Times New Roman"/>
          <w:spacing w:val="1"/>
        </w:rPr>
      </w:pPr>
      <w:r>
        <w:rPr>
          <w:rFonts w:ascii="Times New Roman" w:hAnsi="Times New Roman" w:cs="Times New Roman"/>
          <w:spacing w:val="1"/>
        </w:rPr>
        <w:tab/>
      </w:r>
      <w:r w:rsidR="00CF36E6" w:rsidRPr="005576E1">
        <w:rPr>
          <w:rFonts w:ascii="Times New Roman" w:hAnsi="Times New Roman" w:cs="Times New Roman"/>
          <w:spacing w:val="1"/>
        </w:rPr>
        <w:t xml:space="preserve">In both cities, </w:t>
      </w:r>
      <w:r w:rsidR="00CF36E6" w:rsidRPr="005576E1">
        <w:rPr>
          <w:rFonts w:ascii="Times New Roman" w:hAnsi="Times New Roman" w:cs="Times New Roman"/>
        </w:rPr>
        <w:t>b</w:t>
      </w:r>
      <w:r w:rsidR="007F62DA" w:rsidRPr="005576E1">
        <w:rPr>
          <w:rFonts w:ascii="Times New Roman" w:hAnsi="Times New Roman" w:cs="Times New Roman"/>
        </w:rPr>
        <w:t xml:space="preserve">lock groups that received TIF designation (at any time during the study period) had higher </w:t>
      </w:r>
      <w:r w:rsidR="00CF36E6" w:rsidRPr="005576E1">
        <w:rPr>
          <w:rFonts w:ascii="Times New Roman" w:hAnsi="Times New Roman" w:cs="Times New Roman"/>
        </w:rPr>
        <w:t>rates of</w:t>
      </w:r>
      <w:r w:rsidR="007F62DA" w:rsidRPr="005576E1">
        <w:rPr>
          <w:rFonts w:ascii="Times New Roman" w:hAnsi="Times New Roman" w:cs="Times New Roman"/>
        </w:rPr>
        <w:t xml:space="preserve"> poverty</w:t>
      </w:r>
      <w:r w:rsidR="00CF36E6" w:rsidRPr="005576E1">
        <w:rPr>
          <w:rFonts w:ascii="Times New Roman" w:hAnsi="Times New Roman" w:cs="Times New Roman"/>
        </w:rPr>
        <w:t>,</w:t>
      </w:r>
      <w:r w:rsidR="007F62DA" w:rsidRPr="005576E1">
        <w:rPr>
          <w:rFonts w:ascii="Times New Roman" w:hAnsi="Times New Roman" w:cs="Times New Roman"/>
        </w:rPr>
        <w:t xml:space="preserve"> vacancy rates</w:t>
      </w:r>
      <w:r w:rsidR="00CF36E6" w:rsidRPr="005576E1">
        <w:rPr>
          <w:rFonts w:ascii="Times New Roman" w:hAnsi="Times New Roman" w:cs="Times New Roman"/>
        </w:rPr>
        <w:t>, higher percentage of people working outside the central city, and had</w:t>
      </w:r>
      <w:r w:rsidR="007F62DA" w:rsidRPr="005576E1">
        <w:rPr>
          <w:rFonts w:ascii="Times New Roman" w:hAnsi="Times New Roman" w:cs="Times New Roman"/>
        </w:rPr>
        <w:t xml:space="preserve"> higher proportion</w:t>
      </w:r>
      <w:r w:rsidR="00CF36E6" w:rsidRPr="005576E1">
        <w:rPr>
          <w:rFonts w:ascii="Times New Roman" w:hAnsi="Times New Roman" w:cs="Times New Roman"/>
        </w:rPr>
        <w:t>s</w:t>
      </w:r>
      <w:r w:rsidR="007F62DA" w:rsidRPr="005576E1">
        <w:rPr>
          <w:rFonts w:ascii="Times New Roman" w:hAnsi="Times New Roman" w:cs="Times New Roman"/>
        </w:rPr>
        <w:t xml:space="preserve"> of African-Americans in 1990.</w:t>
      </w:r>
      <w:r w:rsidR="00CF36E6" w:rsidRPr="005576E1">
        <w:rPr>
          <w:rFonts w:ascii="Times New Roman" w:hAnsi="Times New Roman" w:cs="Times New Roman"/>
          <w:spacing w:val="1"/>
        </w:rPr>
        <w:t xml:space="preserve"> </w:t>
      </w:r>
      <w:r w:rsidR="007F62DA" w:rsidRPr="005576E1">
        <w:rPr>
          <w:rFonts w:ascii="Times New Roman" w:hAnsi="Times New Roman" w:cs="Times New Roman"/>
        </w:rPr>
        <w:t>Pre-weighted summary</w:t>
      </w:r>
      <w:r w:rsidR="003A1F04" w:rsidRPr="005576E1">
        <w:rPr>
          <w:rFonts w:ascii="Times New Roman" w:hAnsi="Times New Roman" w:cs="Times New Roman"/>
        </w:rPr>
        <w:t xml:space="preserve"> statistics for employment change over the study period and various neighborhood and land-use characteristics for the treatment and control block groups</w:t>
      </w:r>
      <w:r w:rsidR="005C5118" w:rsidRPr="005576E1">
        <w:rPr>
          <w:rFonts w:ascii="Times New Roman" w:hAnsi="Times New Roman" w:cs="Times New Roman"/>
        </w:rPr>
        <w:t xml:space="preserve"> are provided in Appendix B</w:t>
      </w:r>
      <w:r w:rsidR="00CF36E6" w:rsidRPr="005576E1">
        <w:rPr>
          <w:rFonts w:ascii="Times New Roman" w:hAnsi="Times New Roman" w:cs="Times New Roman"/>
        </w:rPr>
        <w:t xml:space="preserve"> in tables 3 and 4</w:t>
      </w:r>
      <w:r w:rsidR="003A1F04" w:rsidRPr="005576E1">
        <w:rPr>
          <w:rFonts w:ascii="Times New Roman" w:hAnsi="Times New Roman" w:cs="Times New Roman"/>
        </w:rPr>
        <w:t xml:space="preserve">. </w:t>
      </w:r>
    </w:p>
    <w:p w14:paraId="018F93EA" w14:textId="05B08BE1" w:rsidR="007A3B6B" w:rsidRPr="005576E1" w:rsidRDefault="00063A52" w:rsidP="00B77519">
      <w:pPr>
        <w:pStyle w:val="Heading2"/>
        <w:spacing w:line="480" w:lineRule="auto"/>
        <w:ind w:left="0"/>
        <w:rPr>
          <w:rFonts w:ascii="Times New Roman" w:hAnsi="Times New Roman" w:cs="Times New Roman"/>
          <w:color w:val="auto"/>
        </w:rPr>
      </w:pPr>
      <w:r w:rsidRPr="005576E1">
        <w:rPr>
          <w:rFonts w:ascii="Times New Roman" w:hAnsi="Times New Roman" w:cs="Times New Roman"/>
          <w:color w:val="auto"/>
        </w:rPr>
        <w:t>5</w:t>
      </w:r>
      <w:r w:rsidR="00F76CC9" w:rsidRPr="005576E1">
        <w:rPr>
          <w:rFonts w:ascii="Times New Roman" w:hAnsi="Times New Roman" w:cs="Times New Roman"/>
          <w:color w:val="auto"/>
        </w:rPr>
        <w:t xml:space="preserve">.5 </w:t>
      </w:r>
      <w:r w:rsidR="000F0886" w:rsidRPr="005576E1">
        <w:rPr>
          <w:rFonts w:ascii="Times New Roman" w:hAnsi="Times New Roman" w:cs="Times New Roman"/>
          <w:color w:val="auto"/>
        </w:rPr>
        <w:t xml:space="preserve">Propensity Score </w:t>
      </w:r>
      <w:r w:rsidR="00FA3C3D" w:rsidRPr="005576E1">
        <w:rPr>
          <w:rFonts w:ascii="Times New Roman" w:hAnsi="Times New Roman" w:cs="Times New Roman"/>
          <w:color w:val="auto"/>
        </w:rPr>
        <w:t>Weighting</w:t>
      </w:r>
    </w:p>
    <w:p w14:paraId="1F68879E" w14:textId="6476D0D1" w:rsidR="000F549C" w:rsidRPr="005576E1" w:rsidRDefault="00A15173" w:rsidP="00A15173">
      <w:pPr>
        <w:tabs>
          <w:tab w:val="left" w:pos="720"/>
        </w:tabs>
        <w:spacing w:line="480" w:lineRule="auto"/>
        <w:ind w:left="0"/>
        <w:rPr>
          <w:rFonts w:ascii="Times New Roman" w:hAnsi="Times New Roman" w:cs="Times New Roman"/>
          <w:spacing w:val="1"/>
        </w:rPr>
      </w:pPr>
      <w:r>
        <w:rPr>
          <w:rFonts w:ascii="Times New Roman" w:hAnsi="Times New Roman" w:cs="Times New Roman"/>
          <w:spacing w:val="1"/>
        </w:rPr>
        <w:tab/>
      </w:r>
      <w:r w:rsidR="000F549C" w:rsidRPr="005576E1">
        <w:rPr>
          <w:rFonts w:ascii="Times New Roman" w:hAnsi="Times New Roman" w:cs="Times New Roman"/>
          <w:spacing w:val="1"/>
        </w:rPr>
        <w:t>The figures below graphically display the application of the propensity score methodology used to address selection bias.</w:t>
      </w:r>
      <w:r w:rsidR="00F8228A" w:rsidRPr="005576E1">
        <w:rPr>
          <w:rFonts w:ascii="Times New Roman" w:hAnsi="Times New Roman" w:cs="Times New Roman"/>
          <w:spacing w:val="1"/>
        </w:rPr>
        <w:t xml:space="preserve"> </w:t>
      </w:r>
      <w:r w:rsidR="00F8228A" w:rsidRPr="005576E1">
        <w:rPr>
          <w:rFonts w:ascii="Times New Roman" w:hAnsi="Times New Roman" w:cs="Times New Roman"/>
        </w:rPr>
        <w:t xml:space="preserve">The propensity score itself represents the likelihood that a block group would receive a TIF given the similarities in pre-treatment characteristics. </w:t>
      </w:r>
      <w:r w:rsidR="000F549C" w:rsidRPr="005576E1">
        <w:rPr>
          <w:rFonts w:ascii="Times New Roman" w:hAnsi="Times New Roman" w:cs="Times New Roman"/>
        </w:rPr>
        <w:t xml:space="preserve">The </w:t>
      </w:r>
      <w:r w:rsidR="00F8228A" w:rsidRPr="005576E1">
        <w:rPr>
          <w:rFonts w:ascii="Times New Roman" w:hAnsi="Times New Roman" w:cs="Times New Roman"/>
        </w:rPr>
        <w:t xml:space="preserve">top two panels in the </w:t>
      </w:r>
      <w:r w:rsidR="000F549C" w:rsidRPr="005576E1">
        <w:rPr>
          <w:rFonts w:ascii="Times New Roman" w:hAnsi="Times New Roman" w:cs="Times New Roman"/>
        </w:rPr>
        <w:t>figure</w:t>
      </w:r>
      <w:r w:rsidR="00F8228A" w:rsidRPr="005576E1">
        <w:rPr>
          <w:rFonts w:ascii="Times New Roman" w:hAnsi="Times New Roman" w:cs="Times New Roman"/>
        </w:rPr>
        <w:t xml:space="preserve"> show the propensity score before the matching process and shows </w:t>
      </w:r>
      <w:r w:rsidR="000F549C" w:rsidRPr="005576E1">
        <w:rPr>
          <w:rFonts w:ascii="Times New Roman" w:hAnsi="Times New Roman" w:cs="Times New Roman"/>
        </w:rPr>
        <w:t xml:space="preserve">strong regions of support in both locations. The bottom two show the propensity score after the </w:t>
      </w:r>
      <w:r w:rsidR="00FA3C3D" w:rsidRPr="005576E1">
        <w:rPr>
          <w:rFonts w:ascii="Times New Roman" w:hAnsi="Times New Roman" w:cs="Times New Roman"/>
        </w:rPr>
        <w:t>weighting</w:t>
      </w:r>
      <w:r w:rsidR="000F549C" w:rsidRPr="005576E1">
        <w:rPr>
          <w:rFonts w:ascii="Times New Roman" w:hAnsi="Times New Roman" w:cs="Times New Roman"/>
        </w:rPr>
        <w:t xml:space="preserve"> process</w:t>
      </w:r>
      <w:r w:rsidR="00F8228A" w:rsidRPr="005576E1">
        <w:rPr>
          <w:rFonts w:ascii="Times New Roman" w:hAnsi="Times New Roman" w:cs="Times New Roman"/>
        </w:rPr>
        <w:t>, displaying the balance in the distributions achieved through the methodology</w:t>
      </w:r>
      <w:r w:rsidR="000F549C" w:rsidRPr="005576E1">
        <w:rPr>
          <w:rFonts w:ascii="Times New Roman" w:hAnsi="Times New Roman" w:cs="Times New Roman"/>
        </w:rPr>
        <w:t>.</w:t>
      </w:r>
      <w:r w:rsidR="001559DB">
        <w:rPr>
          <w:rFonts w:ascii="Times New Roman" w:hAnsi="Times New Roman" w:cs="Times New Roman"/>
        </w:rPr>
        <w:t xml:space="preserve"> </w:t>
      </w:r>
      <w:r w:rsidR="000F549C" w:rsidRPr="005576E1">
        <w:rPr>
          <w:rFonts w:ascii="Times New Roman" w:hAnsi="Times New Roman" w:cs="Times New Roman"/>
        </w:rPr>
        <w:t xml:space="preserve">Tables 1 below show the post-weighted summary statistics. After applying the propensity weighting procedure, the differences between the treatment and control groups on all observable characteristics were insignificant, indicating that the weighting procedure is reasonably effective in addressing the issue of selection bias. </w:t>
      </w:r>
    </w:p>
    <w:p w14:paraId="08277BEA" w14:textId="611CF2CC" w:rsidR="000F549C" w:rsidRPr="005576E1" w:rsidRDefault="00581B12" w:rsidP="00A15173">
      <w:pPr>
        <w:tabs>
          <w:tab w:val="left" w:pos="5460"/>
        </w:tabs>
        <w:spacing w:line="480" w:lineRule="auto"/>
        <w:ind w:left="0"/>
        <w:jc w:val="center"/>
        <w:rPr>
          <w:rFonts w:ascii="Times New Roman" w:hAnsi="Times New Roman" w:cs="Times New Roman"/>
          <w:sz w:val="20"/>
          <w:szCs w:val="20"/>
        </w:rPr>
      </w:pPr>
      <w:r>
        <w:t>[TABLE 1 ABOUT HERE]</w:t>
      </w:r>
    </w:p>
    <w:p w14:paraId="4F005579" w14:textId="77777777" w:rsidR="007A3B6B" w:rsidRPr="005576E1" w:rsidRDefault="007A3B6B" w:rsidP="00B77519">
      <w:pPr>
        <w:spacing w:line="480" w:lineRule="auto"/>
        <w:ind w:left="0"/>
        <w:rPr>
          <w:rFonts w:ascii="Times New Roman" w:hAnsi="Times New Roman" w:cs="Times New Roman"/>
          <w:b/>
          <w:bCs/>
          <w:sz w:val="32"/>
          <w:szCs w:val="32"/>
        </w:rPr>
      </w:pPr>
    </w:p>
    <w:p w14:paraId="27DC10B9" w14:textId="5E248BA8" w:rsidR="0067022B" w:rsidRPr="005576E1" w:rsidRDefault="0067022B" w:rsidP="005576E1">
      <w:pPr>
        <w:pStyle w:val="Heading1"/>
        <w:spacing w:line="480" w:lineRule="auto"/>
        <w:rPr>
          <w:rFonts w:ascii="Times New Roman" w:hAnsi="Times New Roman" w:cs="Times New Roman"/>
          <w:color w:val="auto"/>
        </w:rPr>
      </w:pPr>
      <w:r w:rsidRPr="005576E1">
        <w:rPr>
          <w:rFonts w:ascii="Times New Roman" w:hAnsi="Times New Roman" w:cs="Times New Roman"/>
          <w:color w:val="auto"/>
        </w:rPr>
        <w:lastRenderedPageBreak/>
        <w:t xml:space="preserve">6. </w:t>
      </w:r>
      <w:r w:rsidR="00B956F5" w:rsidRPr="005576E1">
        <w:rPr>
          <w:rFonts w:ascii="Times New Roman" w:hAnsi="Times New Roman" w:cs="Times New Roman"/>
          <w:b/>
          <w:bCs/>
          <w:color w:val="auto"/>
        </w:rPr>
        <w:t>Results</w:t>
      </w:r>
    </w:p>
    <w:p w14:paraId="6B2C4478" w14:textId="3DB7E19B" w:rsidR="00375B26" w:rsidRPr="00A629D5" w:rsidRDefault="001C23AB" w:rsidP="00A629D5">
      <w:pPr>
        <w:spacing w:line="480" w:lineRule="auto"/>
        <w:ind w:left="0" w:firstLine="720"/>
        <w:rPr>
          <w:rFonts w:ascii="Times New Roman" w:hAnsi="Times New Roman" w:cs="Times New Roman"/>
          <w:sz w:val="19"/>
          <w:szCs w:val="19"/>
          <w:shd w:val="clear" w:color="auto" w:fill="FFFFFF"/>
        </w:rPr>
      </w:pPr>
      <w:r w:rsidRPr="005576E1">
        <w:rPr>
          <w:rFonts w:ascii="Times New Roman" w:hAnsi="Times New Roman" w:cs="Times New Roman"/>
        </w:rPr>
        <w:t>Overall</w:t>
      </w:r>
      <w:r w:rsidR="001209AC" w:rsidRPr="005576E1">
        <w:rPr>
          <w:rFonts w:ascii="Times New Roman" w:hAnsi="Times New Roman" w:cs="Times New Roman"/>
        </w:rPr>
        <w:t>,</w:t>
      </w:r>
      <w:r w:rsidR="001209AC" w:rsidRPr="005576E1">
        <w:rPr>
          <w:rFonts w:ascii="Times New Roman" w:hAnsi="Times New Roman" w:cs="Times New Roman"/>
          <w:sz w:val="19"/>
          <w:szCs w:val="19"/>
          <w:shd w:val="clear" w:color="auto" w:fill="FFFFFF"/>
        </w:rPr>
        <w:t xml:space="preserve"> </w:t>
      </w:r>
      <w:r w:rsidR="004E49B7" w:rsidRPr="005576E1">
        <w:rPr>
          <w:rFonts w:ascii="Times New Roman" w:hAnsi="Times New Roman" w:cs="Times New Roman"/>
        </w:rPr>
        <w:t>the</w:t>
      </w:r>
      <w:r w:rsidRPr="005576E1">
        <w:rPr>
          <w:rFonts w:ascii="Times New Roman" w:hAnsi="Times New Roman" w:cs="Times New Roman"/>
        </w:rPr>
        <w:t xml:space="preserve"> analysis</w:t>
      </w:r>
      <w:r w:rsidR="004E49B7" w:rsidRPr="005576E1">
        <w:rPr>
          <w:rFonts w:ascii="Times New Roman" w:hAnsi="Times New Roman" w:cs="Times New Roman"/>
        </w:rPr>
        <w:t xml:space="preserve"> conducted in this study</w:t>
      </w:r>
      <w:r w:rsidRPr="005576E1">
        <w:rPr>
          <w:rFonts w:ascii="Times New Roman" w:hAnsi="Times New Roman" w:cs="Times New Roman"/>
        </w:rPr>
        <w:t xml:space="preserve"> finds no support for the</w:t>
      </w:r>
      <w:r w:rsidR="000F040D" w:rsidRPr="005576E1">
        <w:rPr>
          <w:rFonts w:ascii="Times New Roman" w:hAnsi="Times New Roman" w:cs="Times New Roman"/>
        </w:rPr>
        <w:t xml:space="preserve"> </w:t>
      </w:r>
      <w:r w:rsidR="006E6D0B" w:rsidRPr="005576E1">
        <w:rPr>
          <w:rFonts w:ascii="Times New Roman" w:hAnsi="Times New Roman" w:cs="Times New Roman"/>
        </w:rPr>
        <w:t>claim that TIFs generated tangible economic development benefits</w:t>
      </w:r>
      <w:r w:rsidR="00B11C22" w:rsidRPr="005576E1">
        <w:rPr>
          <w:rFonts w:ascii="Times New Roman" w:hAnsi="Times New Roman" w:cs="Times New Roman"/>
        </w:rPr>
        <w:t xml:space="preserve"> in either Kansas City or Saint Louis.</w:t>
      </w:r>
      <w:r w:rsidR="000F040D" w:rsidRPr="005576E1">
        <w:rPr>
          <w:rFonts w:ascii="Times New Roman" w:hAnsi="Times New Roman" w:cs="Times New Roman"/>
        </w:rPr>
        <w:t xml:space="preserve"> In other words, we do not find evidence</w:t>
      </w:r>
      <w:r w:rsidRPr="005576E1">
        <w:rPr>
          <w:rFonts w:ascii="Times New Roman" w:hAnsi="Times New Roman" w:cs="Times New Roman"/>
        </w:rPr>
        <w:t xml:space="preserve"> that the use of TIF generates economic development opportunities</w:t>
      </w:r>
      <w:r w:rsidR="000F040D" w:rsidRPr="005576E1">
        <w:rPr>
          <w:rFonts w:ascii="Times New Roman" w:hAnsi="Times New Roman" w:cs="Times New Roman"/>
        </w:rPr>
        <w:t xml:space="preserve"> that would not have arisen in the absence of the tax incentive.</w:t>
      </w:r>
      <w:r w:rsidRPr="005576E1">
        <w:rPr>
          <w:rFonts w:ascii="Times New Roman" w:hAnsi="Times New Roman" w:cs="Times New Roman"/>
        </w:rPr>
        <w:t xml:space="preserve"> </w:t>
      </w:r>
      <w:r w:rsidR="00B11C22" w:rsidRPr="005576E1">
        <w:rPr>
          <w:rFonts w:ascii="Times New Roman" w:hAnsi="Times New Roman" w:cs="Times New Roman"/>
        </w:rPr>
        <w:t xml:space="preserve"> </w:t>
      </w:r>
      <w:r w:rsidR="00B37EEE" w:rsidRPr="005576E1">
        <w:rPr>
          <w:rFonts w:ascii="Times New Roman" w:hAnsi="Times New Roman" w:cs="Times New Roman"/>
        </w:rPr>
        <w:t>Accounting for the different types of potential biases</w:t>
      </w:r>
      <w:r w:rsidR="00F26791" w:rsidRPr="005576E1">
        <w:rPr>
          <w:rFonts w:ascii="Times New Roman" w:hAnsi="Times New Roman" w:cs="Times New Roman"/>
        </w:rPr>
        <w:t xml:space="preserve"> with various specifications and robustness checks discussed below,</w:t>
      </w:r>
      <w:r w:rsidR="00B37EEE" w:rsidRPr="005576E1">
        <w:rPr>
          <w:rFonts w:ascii="Times New Roman" w:hAnsi="Times New Roman" w:cs="Times New Roman"/>
        </w:rPr>
        <w:t xml:space="preserve"> the</w:t>
      </w:r>
      <w:r w:rsidR="000F040D" w:rsidRPr="005576E1">
        <w:rPr>
          <w:rFonts w:ascii="Times New Roman" w:hAnsi="Times New Roman" w:cs="Times New Roman"/>
        </w:rPr>
        <w:t xml:space="preserve"> </w:t>
      </w:r>
      <w:r w:rsidR="00F26791" w:rsidRPr="005576E1">
        <w:rPr>
          <w:rFonts w:ascii="Times New Roman" w:hAnsi="Times New Roman" w:cs="Times New Roman"/>
        </w:rPr>
        <w:t>results</w:t>
      </w:r>
      <w:r w:rsidR="000F040D" w:rsidRPr="005576E1">
        <w:rPr>
          <w:rFonts w:ascii="Times New Roman" w:hAnsi="Times New Roman" w:cs="Times New Roman"/>
        </w:rPr>
        <w:t xml:space="preserve"> find</w:t>
      </w:r>
      <w:r w:rsidR="001209AC" w:rsidRPr="005576E1">
        <w:rPr>
          <w:rFonts w:ascii="Times New Roman" w:hAnsi="Times New Roman" w:cs="Times New Roman"/>
          <w:shd w:val="clear" w:color="auto" w:fill="FFFFFF"/>
        </w:rPr>
        <w:t xml:space="preserve"> little or no systematic positive effect</w:t>
      </w:r>
      <w:r w:rsidR="001209AC" w:rsidRPr="005576E1">
        <w:rPr>
          <w:rFonts w:ascii="Times New Roman" w:hAnsi="Times New Roman" w:cs="Times New Roman"/>
          <w:sz w:val="19"/>
          <w:szCs w:val="19"/>
          <w:shd w:val="clear" w:color="auto" w:fill="FFFFFF"/>
        </w:rPr>
        <w:t xml:space="preserve"> of </w:t>
      </w:r>
      <w:r w:rsidR="001209AC" w:rsidRPr="005576E1">
        <w:rPr>
          <w:rFonts w:ascii="Times New Roman" w:hAnsi="Times New Roman" w:cs="Times New Roman"/>
          <w:shd w:val="clear" w:color="auto" w:fill="FFFFFF"/>
        </w:rPr>
        <w:t>TIFs.</w:t>
      </w:r>
      <w:r w:rsidR="00152DF6" w:rsidRPr="005576E1">
        <w:rPr>
          <w:rFonts w:ascii="Times New Roman" w:hAnsi="Times New Roman" w:cs="Times New Roman"/>
          <w:shd w:val="clear" w:color="auto" w:fill="FFFFFF"/>
        </w:rPr>
        <w:t xml:space="preserve"> To clarify, the analysis performed does not indicate that no economic development occurred in block groups where TIF projects were designated, but that the level of economic activity was not discernably faster than the levels of similar areas where TIF projects were not designated. In other words, the d</w:t>
      </w:r>
      <w:r w:rsidR="00F26791" w:rsidRPr="005576E1">
        <w:rPr>
          <w:rFonts w:ascii="Times New Roman" w:hAnsi="Times New Roman" w:cs="Times New Roman"/>
          <w:shd w:val="clear" w:color="auto" w:fill="FFFFFF"/>
        </w:rPr>
        <w:t>evelopment seen in TIF areas is what would have been expected in the absence of the TIF program.</w:t>
      </w:r>
      <w:r w:rsidR="00152DF6" w:rsidRPr="005576E1">
        <w:rPr>
          <w:rFonts w:ascii="Times New Roman" w:hAnsi="Times New Roman" w:cs="Times New Roman"/>
          <w:shd w:val="clear" w:color="auto" w:fill="FFFFFF"/>
        </w:rPr>
        <w:t xml:space="preserve"> We, conclude, therefore that, in general, the TIF program does not pass the required “but for” test.</w:t>
      </w:r>
    </w:p>
    <w:p w14:paraId="1C4B91D4" w14:textId="2D2A78C8" w:rsidR="004D20D8" w:rsidRPr="005576E1" w:rsidRDefault="0083128B" w:rsidP="005576E1">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Table </w:t>
      </w:r>
      <w:r w:rsidR="00581B12">
        <w:rPr>
          <w:rFonts w:ascii="Times New Roman" w:hAnsi="Times New Roman" w:cs="Times New Roman"/>
        </w:rPr>
        <w:t>2</w:t>
      </w:r>
      <w:r w:rsidR="00386E8A" w:rsidRPr="005576E1">
        <w:rPr>
          <w:rFonts w:ascii="Times New Roman" w:hAnsi="Times New Roman" w:cs="Times New Roman"/>
        </w:rPr>
        <w:t xml:space="preserve"> below contains the results of the difference-in-differences analysis summarized in equation 1. </w:t>
      </w:r>
      <w:r w:rsidR="00581B12">
        <w:rPr>
          <w:rFonts w:ascii="Times New Roman" w:hAnsi="Times New Roman" w:cs="Times New Roman"/>
        </w:rPr>
        <w:t xml:space="preserve">Tables 3-5 show results for </w:t>
      </w:r>
      <w:r w:rsidR="00581B12" w:rsidRPr="005576E1">
        <w:rPr>
          <w:rFonts w:ascii="Times New Roman" w:hAnsi="Times New Roman" w:cs="Times New Roman"/>
        </w:rPr>
        <w:t>results of an alternative specification</w:t>
      </w:r>
      <w:r w:rsidR="00581B12">
        <w:rPr>
          <w:rFonts w:ascii="Times New Roman" w:hAnsi="Times New Roman" w:cs="Times New Roman"/>
        </w:rPr>
        <w:t xml:space="preserve">s described below. </w:t>
      </w:r>
      <w:r w:rsidR="00386E8A" w:rsidRPr="005576E1">
        <w:rPr>
          <w:rFonts w:ascii="Times New Roman" w:hAnsi="Times New Roman" w:cs="Times New Roman"/>
        </w:rPr>
        <w:t xml:space="preserve">Estimates of the impact of TIF in both Kansas City and </w:t>
      </w:r>
      <w:r w:rsidR="005576E1" w:rsidRPr="005576E1">
        <w:rPr>
          <w:rFonts w:ascii="Times New Roman" w:hAnsi="Times New Roman" w:cs="Times New Roman"/>
        </w:rPr>
        <w:t>Saint Louis</w:t>
      </w:r>
      <w:r w:rsidR="00386E8A" w:rsidRPr="005576E1">
        <w:rPr>
          <w:rFonts w:ascii="Times New Roman" w:hAnsi="Times New Roman" w:cs="Times New Roman"/>
        </w:rPr>
        <w:t xml:space="preserve"> are presented for both the un-weighted (column 1 and 3) and propensity score-weighted (column 2 and 4) specifications. The results are also sorted into three panels according to the major set of dependent variables considered. The upper panel contains the estimates on employment across the four categories considered, the midd</w:t>
      </w:r>
      <w:r w:rsidR="00DD7F37" w:rsidRPr="005576E1">
        <w:rPr>
          <w:rFonts w:ascii="Times New Roman" w:hAnsi="Times New Roman" w:cs="Times New Roman"/>
        </w:rPr>
        <w:t>l</w:t>
      </w:r>
      <w:r w:rsidR="00386E8A" w:rsidRPr="005576E1">
        <w:rPr>
          <w:rFonts w:ascii="Times New Roman" w:hAnsi="Times New Roman" w:cs="Times New Roman"/>
        </w:rPr>
        <w:t xml:space="preserve">e panel summarizes the impacts on </w:t>
      </w:r>
      <w:r w:rsidR="00B11C22" w:rsidRPr="005576E1">
        <w:rPr>
          <w:rFonts w:ascii="Times New Roman" w:hAnsi="Times New Roman" w:cs="Times New Roman"/>
        </w:rPr>
        <w:t xml:space="preserve">establishments </w:t>
      </w:r>
      <w:r w:rsidR="00386E8A" w:rsidRPr="005576E1">
        <w:rPr>
          <w:rFonts w:ascii="Times New Roman" w:hAnsi="Times New Roman" w:cs="Times New Roman"/>
        </w:rPr>
        <w:t>sale</w:t>
      </w:r>
      <w:r w:rsidR="00B11C22" w:rsidRPr="005576E1">
        <w:rPr>
          <w:rFonts w:ascii="Times New Roman" w:hAnsi="Times New Roman" w:cs="Times New Roman"/>
        </w:rPr>
        <w:t>s</w:t>
      </w:r>
      <w:r w:rsidR="00386E8A" w:rsidRPr="005576E1">
        <w:rPr>
          <w:rFonts w:ascii="Times New Roman" w:hAnsi="Times New Roman" w:cs="Times New Roman"/>
        </w:rPr>
        <w:t xml:space="preserve"> activity in the same categories</w:t>
      </w:r>
      <w:r w:rsidR="00B11C22" w:rsidRPr="005576E1">
        <w:rPr>
          <w:rFonts w:ascii="Times New Roman" w:hAnsi="Times New Roman" w:cs="Times New Roman"/>
        </w:rPr>
        <w:t>, while</w:t>
      </w:r>
      <w:r w:rsidR="00386E8A" w:rsidRPr="005576E1">
        <w:rPr>
          <w:rFonts w:ascii="Times New Roman" w:hAnsi="Times New Roman" w:cs="Times New Roman"/>
        </w:rPr>
        <w:t xml:space="preserve"> the lower panel summarizes the impacts on the number of business establishments in the same categories. </w:t>
      </w:r>
      <w:bookmarkStart w:id="11" w:name="_Hlk488331172"/>
      <w:r w:rsidR="00C94800" w:rsidRPr="005576E1">
        <w:rPr>
          <w:rFonts w:ascii="Times New Roman" w:hAnsi="Times New Roman" w:cs="Times New Roman"/>
        </w:rPr>
        <w:t>The weighted results for all models presented are the preferred specification as they address the issue of selection bias.</w:t>
      </w:r>
    </w:p>
    <w:bookmarkEnd w:id="11"/>
    <w:p w14:paraId="5555B4D9" w14:textId="64E267E9" w:rsidR="006671A3" w:rsidRPr="005576E1" w:rsidRDefault="00F87C67" w:rsidP="005576E1">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In Kansas</w:t>
      </w:r>
      <w:r w:rsidR="0065017C" w:rsidRPr="005576E1">
        <w:rPr>
          <w:rFonts w:ascii="Times New Roman" w:hAnsi="Times New Roman" w:cs="Times New Roman"/>
        </w:rPr>
        <w:t xml:space="preserve"> City</w:t>
      </w:r>
      <w:r w:rsidR="00386E8A" w:rsidRPr="005576E1">
        <w:rPr>
          <w:rFonts w:ascii="Times New Roman" w:hAnsi="Times New Roman" w:cs="Times New Roman"/>
        </w:rPr>
        <w:t xml:space="preserve">, the estimated impact of TIF designation </w:t>
      </w:r>
      <w:r w:rsidRPr="005576E1">
        <w:rPr>
          <w:rFonts w:ascii="Times New Roman" w:hAnsi="Times New Roman" w:cs="Times New Roman"/>
        </w:rPr>
        <w:t>across all categories is</w:t>
      </w:r>
      <w:r w:rsidR="00386E8A" w:rsidRPr="005576E1">
        <w:rPr>
          <w:rFonts w:ascii="Times New Roman" w:hAnsi="Times New Roman" w:cs="Times New Roman"/>
        </w:rPr>
        <w:t xml:space="preserve"> very close to</w:t>
      </w:r>
      <w:r w:rsidR="005B44F2" w:rsidRPr="005576E1">
        <w:rPr>
          <w:rFonts w:ascii="Times New Roman" w:hAnsi="Times New Roman" w:cs="Times New Roman"/>
        </w:rPr>
        <w:t xml:space="preserve"> zero</w:t>
      </w:r>
      <w:r w:rsidR="00386E8A" w:rsidRPr="005576E1">
        <w:rPr>
          <w:rFonts w:ascii="Times New Roman" w:hAnsi="Times New Roman" w:cs="Times New Roman"/>
        </w:rPr>
        <w:t xml:space="preserve"> with relatively small standard errors</w:t>
      </w:r>
      <w:r w:rsidR="005B44F2" w:rsidRPr="005576E1">
        <w:rPr>
          <w:rFonts w:ascii="Times New Roman" w:hAnsi="Times New Roman" w:cs="Times New Roman"/>
        </w:rPr>
        <w:t>, which suggests that the TIF program in Kansas City has been ineffective in promoting business development</w:t>
      </w:r>
      <w:r w:rsidR="00386E8A" w:rsidRPr="005576E1">
        <w:rPr>
          <w:rFonts w:ascii="Times New Roman" w:hAnsi="Times New Roman" w:cs="Times New Roman"/>
        </w:rPr>
        <w:t xml:space="preserve">. </w:t>
      </w:r>
      <w:r w:rsidRPr="005576E1">
        <w:rPr>
          <w:rFonts w:ascii="Times New Roman" w:hAnsi="Times New Roman" w:cs="Times New Roman"/>
        </w:rPr>
        <w:t>In St Louis, the results are slightly negative and, for the most p</w:t>
      </w:r>
      <w:r w:rsidR="005B44F2" w:rsidRPr="005576E1">
        <w:rPr>
          <w:rFonts w:ascii="Times New Roman" w:hAnsi="Times New Roman" w:cs="Times New Roman"/>
        </w:rPr>
        <w:t xml:space="preserve">art, statistically significant. Despite the significance, we cannot yet conclude that TIF has a </w:t>
      </w:r>
      <w:r w:rsidR="005B44F2" w:rsidRPr="005576E1">
        <w:rPr>
          <w:rFonts w:ascii="Times New Roman" w:hAnsi="Times New Roman" w:cs="Times New Roman"/>
        </w:rPr>
        <w:lastRenderedPageBreak/>
        <w:t xml:space="preserve">negative causal effect as there may differences among block groups that the specification is not </w:t>
      </w:r>
      <w:r w:rsidR="0098596C" w:rsidRPr="005576E1">
        <w:rPr>
          <w:rFonts w:ascii="Times New Roman" w:hAnsi="Times New Roman" w:cs="Times New Roman"/>
        </w:rPr>
        <w:t>able to capture. The main concerns are potentially differing time trends among treatment and control block groups as well as the potential for pre-treatment bias.</w:t>
      </w:r>
      <w:r w:rsidR="005B44F2" w:rsidRPr="005576E1">
        <w:rPr>
          <w:rFonts w:ascii="Times New Roman" w:hAnsi="Times New Roman" w:cs="Times New Roman"/>
        </w:rPr>
        <w:t xml:space="preserve"> </w:t>
      </w:r>
      <w:r w:rsidR="0098596C" w:rsidRPr="005576E1">
        <w:rPr>
          <w:rFonts w:ascii="Times New Roman" w:hAnsi="Times New Roman" w:cs="Times New Roman"/>
        </w:rPr>
        <w:t>T</w:t>
      </w:r>
      <w:r w:rsidR="005B44F2" w:rsidRPr="005576E1">
        <w:rPr>
          <w:rFonts w:ascii="Times New Roman" w:hAnsi="Times New Roman" w:cs="Times New Roman"/>
        </w:rPr>
        <w:t>he results from this specification</w:t>
      </w:r>
      <w:r w:rsidR="0098596C" w:rsidRPr="005576E1">
        <w:rPr>
          <w:rFonts w:ascii="Times New Roman" w:hAnsi="Times New Roman" w:cs="Times New Roman"/>
        </w:rPr>
        <w:t xml:space="preserve"> for </w:t>
      </w:r>
      <w:r w:rsidR="005576E1" w:rsidRPr="005576E1">
        <w:rPr>
          <w:rFonts w:ascii="Times New Roman" w:hAnsi="Times New Roman" w:cs="Times New Roman"/>
        </w:rPr>
        <w:t>Saint Louis</w:t>
      </w:r>
      <w:r w:rsidR="0098596C" w:rsidRPr="005576E1">
        <w:rPr>
          <w:rFonts w:ascii="Times New Roman" w:hAnsi="Times New Roman" w:cs="Times New Roman"/>
        </w:rPr>
        <w:t>, therefore,</w:t>
      </w:r>
      <w:r w:rsidR="005B44F2" w:rsidRPr="005576E1">
        <w:rPr>
          <w:rFonts w:ascii="Times New Roman" w:hAnsi="Times New Roman" w:cs="Times New Roman"/>
        </w:rPr>
        <w:t xml:space="preserve"> suggest</w:t>
      </w:r>
      <w:r w:rsidR="0098596C" w:rsidRPr="005576E1">
        <w:rPr>
          <w:rFonts w:ascii="Times New Roman" w:hAnsi="Times New Roman" w:cs="Times New Roman"/>
        </w:rPr>
        <w:t xml:space="preserve"> that </w:t>
      </w:r>
      <w:r w:rsidRPr="005576E1">
        <w:rPr>
          <w:rFonts w:ascii="Times New Roman" w:hAnsi="Times New Roman" w:cs="Times New Roman"/>
        </w:rPr>
        <w:t>the sectors which are most closely associated with stated goals of TIF projects</w:t>
      </w:r>
      <w:r w:rsidR="00361445" w:rsidRPr="005576E1">
        <w:rPr>
          <w:rFonts w:ascii="Times New Roman" w:hAnsi="Times New Roman" w:cs="Times New Roman"/>
        </w:rPr>
        <w:t xml:space="preserve"> do not have a positive impact on job creation.</w:t>
      </w:r>
    </w:p>
    <w:p w14:paraId="5407D1A8" w14:textId="33D6493C" w:rsidR="006671A3" w:rsidRPr="005576E1" w:rsidRDefault="00F663BB" w:rsidP="005576E1">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To ensure that the analysis conducted here is valid, several additional specifications are estimated. </w:t>
      </w:r>
      <w:r w:rsidR="0083128B" w:rsidRPr="005576E1">
        <w:rPr>
          <w:rFonts w:ascii="Times New Roman" w:hAnsi="Times New Roman" w:cs="Times New Roman"/>
        </w:rPr>
        <w:t xml:space="preserve">Table 4 below contains the results of </w:t>
      </w:r>
      <w:r w:rsidR="00027132" w:rsidRPr="005576E1">
        <w:rPr>
          <w:rFonts w:ascii="Times New Roman" w:hAnsi="Times New Roman" w:cs="Times New Roman"/>
        </w:rPr>
        <w:t>an</w:t>
      </w:r>
      <w:r w:rsidR="00163818" w:rsidRPr="005576E1">
        <w:rPr>
          <w:rFonts w:ascii="Times New Roman" w:hAnsi="Times New Roman" w:cs="Times New Roman"/>
        </w:rPr>
        <w:t xml:space="preserve"> alternative specification of the previous</w:t>
      </w:r>
      <w:r w:rsidR="0083128B" w:rsidRPr="005576E1">
        <w:rPr>
          <w:rFonts w:ascii="Times New Roman" w:hAnsi="Times New Roman" w:cs="Times New Roman"/>
        </w:rPr>
        <w:t xml:space="preserve"> difference-in-differences analysis </w:t>
      </w:r>
      <w:r w:rsidR="00163818" w:rsidRPr="005576E1">
        <w:rPr>
          <w:rFonts w:ascii="Times New Roman" w:hAnsi="Times New Roman" w:cs="Times New Roman"/>
        </w:rPr>
        <w:t>to include</w:t>
      </w:r>
      <w:r w:rsidR="0083128B" w:rsidRPr="005576E1">
        <w:rPr>
          <w:rFonts w:ascii="Times New Roman" w:hAnsi="Times New Roman" w:cs="Times New Roman"/>
        </w:rPr>
        <w:t xml:space="preserve"> time trends</w:t>
      </w:r>
      <w:r w:rsidR="00163818" w:rsidRPr="005576E1">
        <w:rPr>
          <w:rFonts w:ascii="Times New Roman" w:hAnsi="Times New Roman" w:cs="Times New Roman"/>
        </w:rPr>
        <w:t>,</w:t>
      </w:r>
      <w:r w:rsidR="0083128B" w:rsidRPr="005576E1">
        <w:rPr>
          <w:rFonts w:ascii="Times New Roman" w:hAnsi="Times New Roman" w:cs="Times New Roman"/>
        </w:rPr>
        <w:t xml:space="preserve"> summarized in equation 2.</w:t>
      </w:r>
      <w:r w:rsidR="00163818" w:rsidRPr="005576E1">
        <w:rPr>
          <w:rFonts w:ascii="Times New Roman" w:hAnsi="Times New Roman" w:cs="Times New Roman"/>
        </w:rPr>
        <w:t xml:space="preserve"> In Kansas City, results indicate positive and significant effects on employment and sales in the retail sector, but negative effects on for </w:t>
      </w:r>
      <w:r w:rsidR="00330227" w:rsidRPr="005576E1">
        <w:rPr>
          <w:rFonts w:ascii="Times New Roman" w:hAnsi="Times New Roman" w:cs="Times New Roman"/>
        </w:rPr>
        <w:t xml:space="preserve">the </w:t>
      </w:r>
      <w:r w:rsidR="00163818" w:rsidRPr="005576E1">
        <w:rPr>
          <w:rFonts w:ascii="Times New Roman" w:hAnsi="Times New Roman" w:cs="Times New Roman"/>
        </w:rPr>
        <w:t>services</w:t>
      </w:r>
      <w:r w:rsidR="00330227" w:rsidRPr="005576E1">
        <w:rPr>
          <w:rFonts w:ascii="Times New Roman" w:hAnsi="Times New Roman" w:cs="Times New Roman"/>
        </w:rPr>
        <w:t xml:space="preserve"> sector</w:t>
      </w:r>
      <w:r w:rsidR="00163818" w:rsidRPr="005576E1">
        <w:rPr>
          <w:rFonts w:ascii="Times New Roman" w:hAnsi="Times New Roman" w:cs="Times New Roman"/>
        </w:rPr>
        <w:t>.</w:t>
      </w:r>
      <w:r w:rsidR="00330227" w:rsidRPr="005576E1">
        <w:rPr>
          <w:rFonts w:ascii="Times New Roman" w:hAnsi="Times New Roman" w:cs="Times New Roman"/>
        </w:rPr>
        <w:t xml:space="preserve"> </w:t>
      </w:r>
      <w:r w:rsidRPr="005576E1">
        <w:rPr>
          <w:rFonts w:ascii="Times New Roman" w:hAnsi="Times New Roman" w:cs="Times New Roman"/>
        </w:rPr>
        <w:t xml:space="preserve">The fact that results are not robust to block group specific time trends raises the question as to whether or not the effects that are being captured are necessarily those due to TIF or the general environment that leads to the adoption of TIF. </w:t>
      </w:r>
      <w:r w:rsidR="00330227" w:rsidRPr="005576E1">
        <w:rPr>
          <w:rFonts w:ascii="Times New Roman" w:hAnsi="Times New Roman" w:cs="Times New Roman"/>
        </w:rPr>
        <w:t xml:space="preserve">The results for </w:t>
      </w:r>
      <w:r w:rsidR="005576E1" w:rsidRPr="005576E1">
        <w:rPr>
          <w:rFonts w:ascii="Times New Roman" w:hAnsi="Times New Roman" w:cs="Times New Roman"/>
        </w:rPr>
        <w:t>Saint Louis</w:t>
      </w:r>
      <w:r w:rsidR="00330227" w:rsidRPr="005576E1">
        <w:rPr>
          <w:rFonts w:ascii="Times New Roman" w:hAnsi="Times New Roman" w:cs="Times New Roman"/>
        </w:rPr>
        <w:t xml:space="preserve"> are relatively robust to the inclusion of block group specific time trends.</w:t>
      </w:r>
    </w:p>
    <w:p w14:paraId="680FC045" w14:textId="31C05D89" w:rsidR="0064712E" w:rsidRPr="005576E1" w:rsidRDefault="00072964" w:rsidP="005576E1">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We also conduct a </w:t>
      </w:r>
      <w:r w:rsidR="00233C90" w:rsidRPr="005576E1">
        <w:rPr>
          <w:rFonts w:ascii="Times New Roman" w:hAnsi="Times New Roman" w:cs="Times New Roman"/>
        </w:rPr>
        <w:t>‘time-path’ analysis</w:t>
      </w:r>
      <w:r w:rsidRPr="005576E1">
        <w:rPr>
          <w:rFonts w:ascii="Times New Roman" w:hAnsi="Times New Roman" w:cs="Times New Roman"/>
        </w:rPr>
        <w:t>,</w:t>
      </w:r>
      <w:r w:rsidR="00233C90" w:rsidRPr="005576E1">
        <w:rPr>
          <w:rFonts w:ascii="Times New Roman" w:hAnsi="Times New Roman" w:cs="Times New Roman"/>
        </w:rPr>
        <w:t xml:space="preserve"> presented in Figure </w:t>
      </w:r>
      <w:r w:rsidR="00F547D0">
        <w:rPr>
          <w:rFonts w:ascii="Times New Roman" w:hAnsi="Times New Roman" w:cs="Times New Roman"/>
        </w:rPr>
        <w:t>4</w:t>
      </w:r>
      <w:r w:rsidR="00233C90" w:rsidRPr="005576E1">
        <w:rPr>
          <w:rFonts w:ascii="Times New Roman" w:hAnsi="Times New Roman" w:cs="Times New Roman"/>
        </w:rPr>
        <w:t xml:space="preserve"> below</w:t>
      </w:r>
      <w:r w:rsidRPr="005576E1">
        <w:rPr>
          <w:rFonts w:ascii="Times New Roman" w:hAnsi="Times New Roman" w:cs="Times New Roman"/>
        </w:rPr>
        <w:t>,</w:t>
      </w:r>
      <w:r w:rsidR="00233C90" w:rsidRPr="005576E1">
        <w:rPr>
          <w:rFonts w:ascii="Times New Roman" w:hAnsi="Times New Roman" w:cs="Times New Roman"/>
        </w:rPr>
        <w:t xml:space="preserve"> </w:t>
      </w:r>
      <w:r w:rsidRPr="005576E1">
        <w:rPr>
          <w:rFonts w:ascii="Times New Roman" w:hAnsi="Times New Roman" w:cs="Times New Roman"/>
        </w:rPr>
        <w:t>to</w:t>
      </w:r>
      <w:r w:rsidR="00233C90" w:rsidRPr="005576E1">
        <w:rPr>
          <w:rFonts w:ascii="Times New Roman" w:hAnsi="Times New Roman" w:cs="Times New Roman"/>
        </w:rPr>
        <w:t xml:space="preserve"> check for the possibility </w:t>
      </w:r>
      <w:r w:rsidR="004435BA" w:rsidRPr="005576E1">
        <w:rPr>
          <w:rFonts w:ascii="Times New Roman" w:hAnsi="Times New Roman" w:cs="Times New Roman"/>
        </w:rPr>
        <w:t>of anticipatory effects of employment relative to TIF designation.</w:t>
      </w:r>
      <w:r w:rsidR="00F36119" w:rsidRPr="005576E1">
        <w:rPr>
          <w:rFonts w:ascii="Times New Roman" w:hAnsi="Times New Roman" w:cs="Times New Roman"/>
        </w:rPr>
        <w:t xml:space="preserve"> If there were a causal impact of TIF designation, </w:t>
      </w:r>
      <w:r w:rsidR="004435BA" w:rsidRPr="005576E1">
        <w:rPr>
          <w:rFonts w:ascii="Times New Roman" w:hAnsi="Times New Roman" w:cs="Times New Roman"/>
        </w:rPr>
        <w:t>one would expect the time-paths</w:t>
      </w:r>
      <w:r w:rsidR="00F36119" w:rsidRPr="005576E1">
        <w:rPr>
          <w:rFonts w:ascii="Times New Roman" w:hAnsi="Times New Roman" w:cs="Times New Roman"/>
        </w:rPr>
        <w:t xml:space="preserve"> to </w:t>
      </w:r>
      <w:r w:rsidR="004435BA" w:rsidRPr="005576E1">
        <w:rPr>
          <w:rFonts w:ascii="Times New Roman" w:hAnsi="Times New Roman" w:cs="Times New Roman"/>
        </w:rPr>
        <w:t xml:space="preserve">exhibit a sharp </w:t>
      </w:r>
      <w:r w:rsidR="00F36119" w:rsidRPr="005576E1">
        <w:rPr>
          <w:rFonts w:ascii="Times New Roman" w:hAnsi="Times New Roman" w:cs="Times New Roman"/>
        </w:rPr>
        <w:t xml:space="preserve">rise </w:t>
      </w:r>
      <w:r w:rsidR="004435BA" w:rsidRPr="005576E1">
        <w:rPr>
          <w:rFonts w:ascii="Times New Roman" w:hAnsi="Times New Roman" w:cs="Times New Roman"/>
        </w:rPr>
        <w:t>during the year of treatment (time t)</w:t>
      </w:r>
      <w:r w:rsidR="00F36119" w:rsidRPr="005576E1">
        <w:rPr>
          <w:rFonts w:ascii="Times New Roman" w:hAnsi="Times New Roman" w:cs="Times New Roman"/>
        </w:rPr>
        <w:t xml:space="preserve"> and remain significantly above zero for all subsequent years. If there were a lagged impact of TIF on employment then this</w:t>
      </w:r>
      <w:r w:rsidR="004435BA" w:rsidRPr="005576E1">
        <w:rPr>
          <w:rFonts w:ascii="Times New Roman" w:hAnsi="Times New Roman" w:cs="Times New Roman"/>
        </w:rPr>
        <w:t xml:space="preserve"> increase would appear after time t</w:t>
      </w:r>
      <w:r w:rsidR="00F36119" w:rsidRPr="005576E1">
        <w:rPr>
          <w:rFonts w:ascii="Times New Roman" w:hAnsi="Times New Roman" w:cs="Times New Roman"/>
        </w:rPr>
        <w:t xml:space="preserve">. </w:t>
      </w:r>
      <w:r w:rsidR="004435BA" w:rsidRPr="005576E1">
        <w:rPr>
          <w:rFonts w:ascii="Times New Roman" w:hAnsi="Times New Roman" w:cs="Times New Roman"/>
        </w:rPr>
        <w:t>In Kansas City, the time path</w:t>
      </w:r>
      <w:r w:rsidR="00F36119" w:rsidRPr="005576E1">
        <w:rPr>
          <w:rFonts w:ascii="Times New Roman" w:hAnsi="Times New Roman" w:cs="Times New Roman"/>
        </w:rPr>
        <w:t xml:space="preserve"> indicates the pattern of TIF impact is relatively flat and insignificant (i.e. dashed 9</w:t>
      </w:r>
      <w:r w:rsidR="008A1617" w:rsidRPr="005576E1">
        <w:rPr>
          <w:rFonts w:ascii="Times New Roman" w:hAnsi="Times New Roman" w:cs="Times New Roman"/>
        </w:rPr>
        <w:t>5</w:t>
      </w:r>
      <w:r w:rsidR="00F36119" w:rsidRPr="005576E1">
        <w:rPr>
          <w:rFonts w:ascii="Times New Roman" w:hAnsi="Times New Roman" w:cs="Times New Roman"/>
        </w:rPr>
        <w:t>% confidence interval includes the zero line).</w:t>
      </w:r>
      <w:r w:rsidR="00087A73" w:rsidRPr="005576E1">
        <w:rPr>
          <w:rFonts w:ascii="Times New Roman" w:hAnsi="Times New Roman" w:cs="Times New Roman"/>
        </w:rPr>
        <w:t xml:space="preserve"> Hence indicating that there is no demonstrated positive impact that is associated with the timing of TIF designation. </w:t>
      </w:r>
      <w:r w:rsidR="00F36119" w:rsidRPr="005576E1">
        <w:rPr>
          <w:rFonts w:ascii="Times New Roman" w:hAnsi="Times New Roman" w:cs="Times New Roman"/>
        </w:rPr>
        <w:t xml:space="preserve"> </w:t>
      </w:r>
      <w:r w:rsidR="008A1617" w:rsidRPr="005576E1">
        <w:rPr>
          <w:rFonts w:ascii="Times New Roman" w:hAnsi="Times New Roman" w:cs="Times New Roman"/>
        </w:rPr>
        <w:t xml:space="preserve">The time path for </w:t>
      </w:r>
      <w:r w:rsidR="005576E1" w:rsidRPr="005576E1">
        <w:rPr>
          <w:rFonts w:ascii="Times New Roman" w:hAnsi="Times New Roman" w:cs="Times New Roman"/>
        </w:rPr>
        <w:t>Saint Louis</w:t>
      </w:r>
      <w:r w:rsidR="008A1617" w:rsidRPr="005576E1">
        <w:rPr>
          <w:rFonts w:ascii="Times New Roman" w:hAnsi="Times New Roman" w:cs="Times New Roman"/>
        </w:rPr>
        <w:t xml:space="preserve">, however, is almost completely flat </w:t>
      </w:r>
      <w:r w:rsidR="00F36119" w:rsidRPr="005576E1">
        <w:rPr>
          <w:rFonts w:ascii="Times New Roman" w:hAnsi="Times New Roman" w:cs="Times New Roman"/>
        </w:rPr>
        <w:t xml:space="preserve">with </w:t>
      </w:r>
      <w:r w:rsidR="008A1617" w:rsidRPr="005576E1">
        <w:rPr>
          <w:rFonts w:ascii="Times New Roman" w:hAnsi="Times New Roman" w:cs="Times New Roman"/>
        </w:rPr>
        <w:t>a</w:t>
      </w:r>
      <w:r w:rsidR="00F36119" w:rsidRPr="005576E1">
        <w:rPr>
          <w:rFonts w:ascii="Times New Roman" w:hAnsi="Times New Roman" w:cs="Times New Roman"/>
        </w:rPr>
        <w:t xml:space="preserve"> marked increase </w:t>
      </w:r>
      <w:r w:rsidR="008A1617" w:rsidRPr="005576E1">
        <w:rPr>
          <w:rFonts w:ascii="Times New Roman" w:hAnsi="Times New Roman" w:cs="Times New Roman"/>
        </w:rPr>
        <w:t>at time t+3 relative to</w:t>
      </w:r>
      <w:r w:rsidR="00F36119" w:rsidRPr="005576E1">
        <w:rPr>
          <w:rFonts w:ascii="Times New Roman" w:hAnsi="Times New Roman" w:cs="Times New Roman"/>
        </w:rPr>
        <w:t xml:space="preserve"> the time of treatment designation. </w:t>
      </w:r>
      <w:r w:rsidR="00B11C22" w:rsidRPr="005576E1">
        <w:rPr>
          <w:rFonts w:ascii="Times New Roman" w:hAnsi="Times New Roman" w:cs="Times New Roman"/>
        </w:rPr>
        <w:t xml:space="preserve">  Given the fact that the overall </w:t>
      </w:r>
      <w:proofErr w:type="spellStart"/>
      <w:r w:rsidR="00B11C22" w:rsidRPr="005576E1">
        <w:rPr>
          <w:rFonts w:ascii="Times New Roman" w:hAnsi="Times New Roman" w:cs="Times New Roman"/>
        </w:rPr>
        <w:t>DiD</w:t>
      </w:r>
      <w:proofErr w:type="spellEnd"/>
      <w:r w:rsidR="00B11C22" w:rsidRPr="005576E1">
        <w:rPr>
          <w:rFonts w:ascii="Times New Roman" w:hAnsi="Times New Roman" w:cs="Times New Roman"/>
        </w:rPr>
        <w:t xml:space="preserve"> impacts are negative and significant, and that the overall trend is not indicative of a clear causal effect, we cannot interpret this finding as clear evidence of a lagged positive effect.   </w:t>
      </w:r>
    </w:p>
    <w:p w14:paraId="3F4FF52D" w14:textId="5A7358CE" w:rsidR="0064712E" w:rsidRPr="005576E1" w:rsidRDefault="0064712E" w:rsidP="005576E1">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To further control for presence of pretreatment bias, we estimated an additional alternative </w:t>
      </w:r>
      <w:r w:rsidRPr="005576E1">
        <w:rPr>
          <w:rFonts w:ascii="Times New Roman" w:hAnsi="Times New Roman" w:cs="Times New Roman"/>
        </w:rPr>
        <w:lastRenderedPageBreak/>
        <w:t xml:space="preserve">specification, using equation 3, to account for the fact that block groups that receive TIF designation may be </w:t>
      </w:r>
      <w:r w:rsidR="00B11C22" w:rsidRPr="005576E1">
        <w:rPr>
          <w:rFonts w:ascii="Times New Roman" w:hAnsi="Times New Roman" w:cs="Times New Roman"/>
        </w:rPr>
        <w:t xml:space="preserve">subject to </w:t>
      </w:r>
      <w:r w:rsidRPr="005576E1">
        <w:rPr>
          <w:rFonts w:ascii="Times New Roman" w:hAnsi="Times New Roman" w:cs="Times New Roman"/>
        </w:rPr>
        <w:t xml:space="preserve">systematically different </w:t>
      </w:r>
      <w:r w:rsidR="00B11C22" w:rsidRPr="005576E1">
        <w:rPr>
          <w:rFonts w:ascii="Times New Roman" w:hAnsi="Times New Roman" w:cs="Times New Roman"/>
        </w:rPr>
        <w:t xml:space="preserve">(negative) trends than </w:t>
      </w:r>
      <w:r w:rsidRPr="005576E1">
        <w:rPr>
          <w:rFonts w:ascii="Times New Roman" w:hAnsi="Times New Roman" w:cs="Times New Roman"/>
        </w:rPr>
        <w:t>those that do</w:t>
      </w:r>
      <w:r w:rsidR="00B11C22" w:rsidRPr="005576E1">
        <w:rPr>
          <w:rFonts w:ascii="Times New Roman" w:hAnsi="Times New Roman" w:cs="Times New Roman"/>
        </w:rPr>
        <w:t xml:space="preserve"> not</w:t>
      </w:r>
      <w:r w:rsidRPr="005576E1">
        <w:rPr>
          <w:rFonts w:ascii="Times New Roman" w:hAnsi="Times New Roman" w:cs="Times New Roman"/>
        </w:rPr>
        <w:t>. The coefficient on the lag term, corresponding to time t+1, is interpreted as the impact on employment for 1 year after the incentive took effect as well as for all subsequent years. The results are presented in Table 5. The overall patterns of the findings remain the same, though the magnitudes decrease, eliminating significant effects. To clarify, these results indicate that there is no discernible positive impact on job creation or any of the stated goals of TIF as the results are statistically insignificant from zero.</w:t>
      </w:r>
    </w:p>
    <w:p w14:paraId="32280BD7" w14:textId="5D843DFE" w:rsidR="0064712E" w:rsidRPr="005576E1" w:rsidRDefault="0064712E" w:rsidP="001559DB">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Focusing on the case of </w:t>
      </w:r>
      <w:r w:rsidR="005576E1" w:rsidRPr="005576E1">
        <w:rPr>
          <w:rFonts w:ascii="Times New Roman" w:hAnsi="Times New Roman" w:cs="Times New Roman"/>
        </w:rPr>
        <w:t>Saint Louis</w:t>
      </w:r>
      <w:r w:rsidRPr="005576E1">
        <w:rPr>
          <w:rFonts w:ascii="Times New Roman" w:hAnsi="Times New Roman" w:cs="Times New Roman"/>
        </w:rPr>
        <w:t xml:space="preserve">, an alternative independent variable, the cumulative total anticipated reimbursable TIF project costs, was used as a proxy to weight the various block groups by the amount of TIF dollars spent. </w:t>
      </w:r>
      <w:r w:rsidR="00B11C22" w:rsidRPr="005576E1">
        <w:rPr>
          <w:rFonts w:ascii="Times New Roman" w:hAnsi="Times New Roman" w:cs="Times New Roman"/>
        </w:rPr>
        <w:t xml:space="preserve">  Rather than a simple yes/no </w:t>
      </w:r>
      <w:r w:rsidR="009B5542" w:rsidRPr="005576E1">
        <w:rPr>
          <w:rFonts w:ascii="Times New Roman" w:hAnsi="Times New Roman" w:cs="Times New Roman"/>
        </w:rPr>
        <w:t>variable</w:t>
      </w:r>
      <w:r w:rsidR="00B11C22" w:rsidRPr="005576E1">
        <w:rPr>
          <w:rFonts w:ascii="Times New Roman" w:hAnsi="Times New Roman" w:cs="Times New Roman"/>
        </w:rPr>
        <w:t xml:space="preserve"> indicating the timing to TIF designation for treated block groups, this alternative independent variable measures the relative TIF subsidy given to developers or private businesses over the course of the TIF.  Since one might expect that the benefits of TIF in terms of job growth and business development may be higher for projects that receive greater amounts of public investment, this alternative specification attempts to capture this possibility.  Comparable investment data by year was not available for Kansas City. </w:t>
      </w:r>
      <w:r w:rsidRPr="005576E1">
        <w:rPr>
          <w:rFonts w:ascii="Times New Roman" w:hAnsi="Times New Roman" w:cs="Times New Roman"/>
        </w:rPr>
        <w:t xml:space="preserve">The results are shown in </w:t>
      </w:r>
      <w:r w:rsidR="00B11C22" w:rsidRPr="005576E1">
        <w:rPr>
          <w:rFonts w:ascii="Times New Roman" w:hAnsi="Times New Roman" w:cs="Times New Roman"/>
        </w:rPr>
        <w:t xml:space="preserve">Table </w:t>
      </w:r>
      <w:r w:rsidRPr="005576E1">
        <w:rPr>
          <w:rFonts w:ascii="Times New Roman" w:hAnsi="Times New Roman" w:cs="Times New Roman"/>
        </w:rPr>
        <w:t>6 below. The results are consistent with the previous findings in that the results are small, negative, and statistically indistinguishable from zero.</w:t>
      </w:r>
      <w:r w:rsidR="00B11C22" w:rsidRPr="005576E1">
        <w:rPr>
          <w:rFonts w:ascii="Times New Roman" w:hAnsi="Times New Roman" w:cs="Times New Roman"/>
        </w:rPr>
        <w:t xml:space="preserve">  </w:t>
      </w:r>
    </w:p>
    <w:p w14:paraId="61C82142" w14:textId="0DEA9E60" w:rsidR="00581B12" w:rsidRDefault="0064712E" w:rsidP="00581B12">
      <w:pPr>
        <w:spacing w:line="480" w:lineRule="auto"/>
        <w:ind w:left="0" w:firstLine="720"/>
        <w:rPr>
          <w:rFonts w:ascii="Times New Roman" w:hAnsi="Times New Roman" w:cs="Times New Roman"/>
        </w:rPr>
      </w:pPr>
      <w:r w:rsidRPr="005576E1">
        <w:rPr>
          <w:rFonts w:ascii="Times New Roman" w:hAnsi="Times New Roman" w:cs="Times New Roman"/>
        </w:rPr>
        <w:t>In addition to the various specifications, several robustness checks are performed. Specifically, the analysis is repeated after removing outliers. The analysis is also repeated removing observations prior to 1994 to account for potential noise in the NETS data. The results from the robust</w:t>
      </w:r>
      <w:r w:rsidR="001559DB">
        <w:rPr>
          <w:rFonts w:ascii="Times New Roman" w:hAnsi="Times New Roman" w:cs="Times New Roman"/>
        </w:rPr>
        <w:t>ness checks</w:t>
      </w:r>
      <w:r w:rsidR="00A629D5">
        <w:rPr>
          <w:rFonts w:ascii="Times New Roman" w:hAnsi="Times New Roman" w:cs="Times New Roman"/>
        </w:rPr>
        <w:t xml:space="preserve"> </w:t>
      </w:r>
      <w:r w:rsidRPr="005576E1">
        <w:rPr>
          <w:rFonts w:ascii="Times New Roman" w:hAnsi="Times New Roman" w:cs="Times New Roman"/>
        </w:rPr>
        <w:t>reinforce the main finding that TIF has no discernible positive impact on job creation or any of the stated goals.</w:t>
      </w:r>
    </w:p>
    <w:p w14:paraId="52F95A36" w14:textId="006D2CA9" w:rsidR="00581B12" w:rsidRDefault="00581B12" w:rsidP="00581B12">
      <w:pPr>
        <w:spacing w:line="480" w:lineRule="auto"/>
        <w:ind w:left="0" w:firstLine="720"/>
        <w:rPr>
          <w:rFonts w:ascii="Times New Roman" w:hAnsi="Times New Roman" w:cs="Times New Roman"/>
        </w:rPr>
      </w:pPr>
    </w:p>
    <w:p w14:paraId="7C5CFC76" w14:textId="77777777" w:rsidR="00581B12" w:rsidRPr="005576E1" w:rsidRDefault="00581B12" w:rsidP="00581B12">
      <w:pPr>
        <w:pStyle w:val="Heading1"/>
        <w:spacing w:line="480" w:lineRule="auto"/>
        <w:rPr>
          <w:rFonts w:ascii="Times New Roman" w:hAnsi="Times New Roman" w:cs="Times New Roman"/>
          <w:color w:val="auto"/>
        </w:rPr>
      </w:pPr>
      <w:r w:rsidRPr="005576E1">
        <w:rPr>
          <w:rFonts w:ascii="Times New Roman" w:hAnsi="Times New Roman" w:cs="Times New Roman"/>
          <w:color w:val="auto"/>
        </w:rPr>
        <w:t xml:space="preserve">7. </w:t>
      </w:r>
      <w:r w:rsidRPr="005576E1">
        <w:rPr>
          <w:rFonts w:ascii="Times New Roman" w:hAnsi="Times New Roman" w:cs="Times New Roman"/>
          <w:b/>
          <w:bCs/>
          <w:color w:val="auto"/>
        </w:rPr>
        <w:t>Conclusions and Policy Recommendations</w:t>
      </w:r>
    </w:p>
    <w:p w14:paraId="164E43C4" w14:textId="77777777" w:rsidR="00581B12" w:rsidRPr="005576E1" w:rsidRDefault="00581B12" w:rsidP="00581B12">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The use of tax increment financing remains a popular tool among policy makers in their efforts to </w:t>
      </w:r>
      <w:r w:rsidRPr="005576E1">
        <w:rPr>
          <w:rFonts w:ascii="Times New Roman" w:hAnsi="Times New Roman" w:cs="Times New Roman"/>
        </w:rPr>
        <w:lastRenderedPageBreak/>
        <w:t xml:space="preserve">promote economic development. Theoretically their use also does have the potential to achieve its objectives of reducing blight and encouraging economic activity thereby increasing the tax base.  Additionally, the immediate visible impacts from designating a TIF district or project (e.g. press releases, ribbon cuttings, etc.) reflect positively on local government officials, projecting an image of strength and proactivity. Though the incentive created from the positive image could lead to attempts to, for example, convert already thriving neighborhoods into bustling commercial districts, or the overuse of TIF in general.  </w:t>
      </w:r>
    </w:p>
    <w:p w14:paraId="538A6448" w14:textId="77777777" w:rsidR="00581B12" w:rsidRPr="005576E1" w:rsidRDefault="00581B12" w:rsidP="00581B12">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In practice, the impact of TIF remains unclear and its use remains quite controversial, especially in light of the large amount of tax dollars involved. Evaluations of the effectiveness of such programs are critical not only in our understanding of how best to promote and fund economic development projects, but also how to support local economies without needless spending of scarce resources. Given that the fiscal stress in many communities in Missouri, such as Saint Louis and smaller suburbs within Saint Louis county, such as Ferguson, the potential waste of tax dollars may be more important than the condition of blight itself.  Our findings suggest that policy makers should therefore be more cautious in their use of TIF. </w:t>
      </w:r>
    </w:p>
    <w:p w14:paraId="7F361331" w14:textId="77777777" w:rsidR="00581B12" w:rsidRPr="005576E1" w:rsidRDefault="00581B12" w:rsidP="00581B12">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t xml:space="preserve">This study underscores the importance of such evaluations by examining the implementation of TIF in Kansas City and Saint Louis in the state of Missouri.  We use a careful and detailed methodology to test whether or not the use of TIFs passes the “but for” test, a necessary requirement that holds that the use of TIF should be reserved exclusively to promote economic development that would not occur but for the incentive. Though we conclude that there are no systematically positive impacts of TIF, it is important to acknowledge that this refers to the use of TIF in these cities on average. We find that the use of TIF has not diverted investment or increased economic activity beyond what we would have expected if TIF was not used. Our analysis does not enable us to make any claims regarding individual TIF projects and we acknowledge that TIF could be justifiable and effective in certain cases or for different reasons beyond a pro-growth economic development argument (e.g. for the sake of equity). </w:t>
      </w:r>
    </w:p>
    <w:p w14:paraId="588B345D" w14:textId="77777777" w:rsidR="00581B12" w:rsidRPr="005576E1" w:rsidRDefault="00581B12" w:rsidP="00581B12">
      <w:pPr>
        <w:widowControl w:val="0"/>
        <w:autoSpaceDE w:val="0"/>
        <w:autoSpaceDN w:val="0"/>
        <w:adjustRightInd w:val="0"/>
        <w:spacing w:before="66" w:after="66" w:line="480" w:lineRule="auto"/>
        <w:ind w:left="0" w:firstLine="720"/>
        <w:rPr>
          <w:rFonts w:ascii="Times New Roman" w:hAnsi="Times New Roman" w:cs="Times New Roman"/>
        </w:rPr>
      </w:pPr>
      <w:r w:rsidRPr="005576E1">
        <w:rPr>
          <w:rFonts w:ascii="Times New Roman" w:hAnsi="Times New Roman" w:cs="Times New Roman"/>
        </w:rPr>
        <w:lastRenderedPageBreak/>
        <w:t xml:space="preserve">Based on this and other research, we argue that the TIF approval process should be modified to </w:t>
      </w:r>
      <w:r w:rsidRPr="005576E1">
        <w:rPr>
          <w:rFonts w:ascii="Times New Roman" w:hAnsi="Times New Roman" w:cs="Times New Roman"/>
          <w:shd w:val="clear" w:color="auto" w:fill="FFFFFF"/>
        </w:rPr>
        <w:t>promote transparency and accountability</w:t>
      </w:r>
      <w:r w:rsidRPr="005576E1">
        <w:rPr>
          <w:rFonts w:ascii="Times New Roman" w:hAnsi="Times New Roman" w:cs="Times New Roman"/>
        </w:rPr>
        <w:t xml:space="preserve">. One way to achieve this would be to couple the TIF proposal with a careful cost-benefit analysis that projects and clearly articulates the job creation outcomes of the redevelopment proposal. Another avenue would be to strengthen legislative requirements. Not until recently, Missouri’s state statute required that the TIF commission only make a recommendation on the approval of a TIF project. Though not studied in this article, the recent TIF legislation passed in 2016 </w:t>
      </w:r>
      <w:r w:rsidRPr="005576E1">
        <w:rPr>
          <w:rFonts w:ascii="Times New Roman" w:hAnsi="Times New Roman" w:cs="Times New Roman"/>
        </w:rPr>
        <w:fldChar w:fldCharType="begin"/>
      </w:r>
      <w:r w:rsidRPr="005576E1">
        <w:rPr>
          <w:rFonts w:ascii="Times New Roman" w:hAnsi="Times New Roman" w:cs="Times New Roman"/>
        </w:rPr>
        <w:instrText xml:space="preserve"> ADDIN ZOTERO_ITEM CSL_CITATION {"citationID":"r0mU5Sbb","properties":{"formattedCitation":"(Missouri House of Representatives 2016)","plainCitation":"(Missouri House of Representatives 2016)"},"citationItems":[{"id":184,"uris":["http://zotero.org/users/local/sNCqxxLT/items/VC43T8I9"],"uri":["http://zotero.org/users/local/sNCqxxLT/items/VC43T8I9"],"itemData":{"id":184,"type":"legislation","title":"House Bill 1434","author":[{"family":"Missouri House of Representatives","given":""}],"issued":{"date-parts":[["2016",8,28]]}}}],"schema":"https://github.com/citation-style-language/schema/raw/master/csl-citation.json"} </w:instrText>
      </w:r>
      <w:r w:rsidRPr="005576E1">
        <w:rPr>
          <w:rFonts w:ascii="Times New Roman" w:hAnsi="Times New Roman" w:cs="Times New Roman"/>
        </w:rPr>
        <w:fldChar w:fldCharType="separate"/>
      </w:r>
      <w:r w:rsidRPr="005576E1">
        <w:rPr>
          <w:rFonts w:ascii="Times New Roman" w:hAnsi="Times New Roman" w:cs="Times New Roman"/>
        </w:rPr>
        <w:t>(Missouri House of Representatives 2016)</w:t>
      </w:r>
      <w:r w:rsidRPr="005576E1">
        <w:rPr>
          <w:rFonts w:ascii="Times New Roman" w:hAnsi="Times New Roman" w:cs="Times New Roman"/>
        </w:rPr>
        <w:fldChar w:fldCharType="end"/>
      </w:r>
      <w:r w:rsidRPr="005576E1">
        <w:rPr>
          <w:rFonts w:ascii="Times New Roman" w:hAnsi="Times New Roman" w:cs="Times New Roman"/>
        </w:rPr>
        <w:t xml:space="preserve"> restricting the ability of local governments in the Saint Louis region (</w:t>
      </w:r>
      <w:r w:rsidRPr="005576E1">
        <w:rPr>
          <w:rFonts w:ascii="Times New Roman" w:hAnsi="Times New Roman" w:cs="Times New Roman"/>
          <w:shd w:val="clear" w:color="auto" w:fill="FFFFFF"/>
        </w:rPr>
        <w:t>Saint Louis County, St. Charles County and Jefferson County</w:t>
      </w:r>
      <w:r w:rsidRPr="005576E1">
        <w:rPr>
          <w:rFonts w:ascii="Times New Roman" w:hAnsi="Times New Roman" w:cs="Times New Roman"/>
        </w:rPr>
        <w:t xml:space="preserve">) to override the decision of TIF commissions in the case the project is not approved may be a step in the right direction.   In addition, local or state government bodies should be empowered to disband TIFs that are under performing and immediately return any accrued increment to the public tax rolls. </w:t>
      </w:r>
    </w:p>
    <w:p w14:paraId="6F64AD79" w14:textId="77777777" w:rsidR="00581B12" w:rsidRPr="005576E1" w:rsidRDefault="00581B12" w:rsidP="00581B12">
      <w:pPr>
        <w:spacing w:line="480" w:lineRule="auto"/>
        <w:ind w:left="0"/>
        <w:rPr>
          <w:rFonts w:ascii="Times New Roman" w:hAnsi="Times New Roman" w:cs="Times New Roman"/>
        </w:rPr>
      </w:pPr>
    </w:p>
    <w:p w14:paraId="7756F647" w14:textId="77777777" w:rsidR="00581B12" w:rsidRDefault="00581B12" w:rsidP="00581B12">
      <w:pPr>
        <w:spacing w:line="480" w:lineRule="auto"/>
        <w:ind w:left="0"/>
        <w:rPr>
          <w:rFonts w:ascii="Times New Roman" w:hAnsi="Times New Roman" w:cs="Times New Roman"/>
        </w:rPr>
      </w:pPr>
    </w:p>
    <w:p w14:paraId="1F0FAA0A" w14:textId="60A96FCF" w:rsidR="00581B12" w:rsidRDefault="007B7707" w:rsidP="007B7707">
      <w:pPr>
        <w:spacing w:line="480" w:lineRule="auto"/>
        <w:ind w:left="0"/>
        <w:rPr>
          <w:rFonts w:ascii="Times New Roman" w:hAnsi="Times New Roman" w:cs="Times New Roman"/>
        </w:rPr>
      </w:pPr>
      <w:r>
        <w:rPr>
          <w:noProof/>
        </w:rPr>
        <w:lastRenderedPageBreak/>
        <w:drawing>
          <wp:inline distT="0" distB="0" distL="0" distR="0" wp14:anchorId="2C3BC52B" wp14:editId="48A8E0B0">
            <wp:extent cx="5943600" cy="77057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7705725"/>
                    </a:xfrm>
                    <a:prstGeom prst="rect">
                      <a:avLst/>
                    </a:prstGeom>
                  </pic:spPr>
                </pic:pic>
              </a:graphicData>
            </a:graphic>
          </wp:inline>
        </w:drawing>
      </w:r>
    </w:p>
    <w:p w14:paraId="5CC686DF" w14:textId="77777777" w:rsidR="00581B12" w:rsidRPr="005576E1" w:rsidRDefault="00581B12" w:rsidP="005576E1">
      <w:pPr>
        <w:spacing w:line="480" w:lineRule="auto"/>
        <w:ind w:left="0" w:firstLine="720"/>
        <w:rPr>
          <w:rFonts w:ascii="Times New Roman" w:hAnsi="Times New Roman" w:cs="Times New Roman"/>
        </w:rPr>
      </w:pPr>
    </w:p>
    <w:p w14:paraId="05A2D9B7" w14:textId="77777777" w:rsidR="0059720E" w:rsidRPr="005576E1" w:rsidRDefault="0059720E" w:rsidP="00B77519">
      <w:pPr>
        <w:widowControl w:val="0"/>
        <w:autoSpaceDE w:val="0"/>
        <w:autoSpaceDN w:val="0"/>
        <w:adjustRightInd w:val="0"/>
        <w:spacing w:before="66" w:after="66" w:line="480" w:lineRule="auto"/>
        <w:ind w:left="0"/>
        <w:rPr>
          <w:rFonts w:ascii="Times New Roman" w:hAnsi="Times New Roman" w:cs="Times New Roman"/>
        </w:rPr>
        <w:sectPr w:rsidR="0059720E" w:rsidRPr="005576E1" w:rsidSect="00375B26">
          <w:pgSz w:w="12240" w:h="15840"/>
          <w:pgMar w:top="1440" w:right="1440" w:bottom="1440" w:left="1440" w:header="720" w:footer="720" w:gutter="0"/>
          <w:cols w:space="720"/>
          <w:docGrid w:linePitch="360"/>
        </w:sectPr>
      </w:pPr>
    </w:p>
    <w:p w14:paraId="76048C7D" w14:textId="3827152F" w:rsidR="00793DC3" w:rsidRPr="005576E1" w:rsidRDefault="00B33EDE" w:rsidP="005576E1">
      <w:pPr>
        <w:widowControl w:val="0"/>
        <w:autoSpaceDE w:val="0"/>
        <w:autoSpaceDN w:val="0"/>
        <w:adjustRightInd w:val="0"/>
        <w:spacing w:before="66" w:after="66"/>
        <w:jc w:val="center"/>
        <w:rPr>
          <w:rFonts w:ascii="Times New Roman" w:hAnsi="Times New Roman" w:cs="Times New Roman"/>
          <w:b/>
          <w:bCs/>
        </w:rPr>
      </w:pPr>
      <w:r w:rsidRPr="005576E1">
        <w:rPr>
          <w:rFonts w:ascii="Times New Roman" w:hAnsi="Times New Roman" w:cs="Times New Roman"/>
          <w:b/>
          <w:bCs/>
          <w:sz w:val="24"/>
          <w:szCs w:val="24"/>
        </w:rPr>
        <w:lastRenderedPageBreak/>
        <w:t xml:space="preserve">Table </w:t>
      </w:r>
      <w:r w:rsidR="00581B12">
        <w:rPr>
          <w:rFonts w:ascii="Times New Roman" w:hAnsi="Times New Roman" w:cs="Times New Roman"/>
          <w:b/>
          <w:bCs/>
          <w:sz w:val="24"/>
          <w:szCs w:val="24"/>
        </w:rPr>
        <w:t>2</w:t>
      </w:r>
      <w:r w:rsidRPr="005576E1">
        <w:rPr>
          <w:rFonts w:ascii="Times New Roman" w:hAnsi="Times New Roman" w:cs="Times New Roman"/>
          <w:b/>
          <w:bCs/>
          <w:sz w:val="24"/>
          <w:szCs w:val="24"/>
        </w:rPr>
        <w:t xml:space="preserve">: </w:t>
      </w:r>
      <w:r w:rsidR="00793DC3" w:rsidRPr="005576E1">
        <w:rPr>
          <w:rFonts w:ascii="Times New Roman" w:hAnsi="Times New Roman" w:cs="Times New Roman"/>
          <w:b/>
          <w:bCs/>
        </w:rPr>
        <w:t>The Impact of TIF Designation on the Natural Log of Employment, Sales, and Establishments, 1990-2012.</w:t>
      </w:r>
    </w:p>
    <w:p w14:paraId="684DC386" w14:textId="278E9D4F" w:rsidR="003A1F04" w:rsidRPr="005576E1" w:rsidRDefault="00793DC3" w:rsidP="005576E1">
      <w:pPr>
        <w:widowControl w:val="0"/>
        <w:autoSpaceDE w:val="0"/>
        <w:autoSpaceDN w:val="0"/>
        <w:adjustRightInd w:val="0"/>
        <w:spacing w:before="66" w:after="66"/>
        <w:jc w:val="center"/>
        <w:rPr>
          <w:rFonts w:ascii="Times New Roman" w:hAnsi="Times New Roman" w:cs="Times New Roman"/>
          <w:sz w:val="24"/>
          <w:szCs w:val="24"/>
        </w:rPr>
      </w:pPr>
      <w:r w:rsidRPr="005576E1">
        <w:rPr>
          <w:rFonts w:ascii="Times New Roman" w:hAnsi="Times New Roman" w:cs="Times New Roman"/>
          <w:b/>
          <w:bCs/>
        </w:rPr>
        <w:t>Main Difference in Difference Specification</w:t>
      </w:r>
    </w:p>
    <w:tbl>
      <w:tblPr>
        <w:tblW w:w="0" w:type="auto"/>
        <w:jc w:val="center"/>
        <w:tblCellMar>
          <w:left w:w="144" w:type="dxa"/>
          <w:right w:w="144" w:type="dxa"/>
        </w:tblCellMar>
        <w:tblLook w:val="0000" w:firstRow="0" w:lastRow="0" w:firstColumn="0" w:lastColumn="0" w:noHBand="0" w:noVBand="0"/>
      </w:tblPr>
      <w:tblGrid>
        <w:gridCol w:w="4917"/>
        <w:gridCol w:w="2346"/>
        <w:gridCol w:w="1803"/>
        <w:gridCol w:w="2091"/>
        <w:gridCol w:w="1803"/>
      </w:tblGrid>
      <w:tr w:rsidR="003A1F04" w:rsidRPr="005576E1" w14:paraId="7F9A41BD" w14:textId="77777777" w:rsidTr="0025040E">
        <w:trPr>
          <w:jc w:val="center"/>
        </w:trPr>
        <w:tc>
          <w:tcPr>
            <w:tcW w:w="4917" w:type="dxa"/>
            <w:tcBorders>
              <w:top w:val="single" w:sz="6" w:space="0" w:color="auto"/>
              <w:left w:val="nil"/>
              <w:bottom w:val="nil"/>
              <w:right w:val="nil"/>
            </w:tcBorders>
          </w:tcPr>
          <w:p w14:paraId="0A52E9F0" w14:textId="77777777" w:rsidR="003A1F04" w:rsidRPr="005576E1" w:rsidRDefault="003A1F04" w:rsidP="005576E1">
            <w:pPr>
              <w:widowControl w:val="0"/>
              <w:autoSpaceDE w:val="0"/>
              <w:autoSpaceDN w:val="0"/>
              <w:adjustRightInd w:val="0"/>
              <w:spacing w:before="66"/>
              <w:rPr>
                <w:rFonts w:ascii="Times New Roman" w:hAnsi="Times New Roman" w:cs="Times New Roman"/>
                <w:sz w:val="20"/>
                <w:szCs w:val="20"/>
              </w:rPr>
            </w:pPr>
          </w:p>
        </w:tc>
        <w:tc>
          <w:tcPr>
            <w:tcW w:w="4149" w:type="dxa"/>
            <w:gridSpan w:val="2"/>
            <w:tcBorders>
              <w:top w:val="single" w:sz="6" w:space="0" w:color="auto"/>
              <w:left w:val="dashed" w:sz="6" w:space="0" w:color="auto"/>
              <w:bottom w:val="nil"/>
              <w:right w:val="nil"/>
            </w:tcBorders>
          </w:tcPr>
          <w:p w14:paraId="29E55223" w14:textId="77777777" w:rsidR="003A1F04" w:rsidRPr="005576E1" w:rsidRDefault="003A1F04"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Kansas City</w:t>
            </w:r>
          </w:p>
        </w:tc>
        <w:tc>
          <w:tcPr>
            <w:tcW w:w="3894" w:type="dxa"/>
            <w:gridSpan w:val="2"/>
            <w:tcBorders>
              <w:top w:val="single" w:sz="6" w:space="0" w:color="auto"/>
              <w:left w:val="nil"/>
              <w:bottom w:val="nil"/>
              <w:right w:val="nil"/>
            </w:tcBorders>
          </w:tcPr>
          <w:p w14:paraId="5D8CDA29" w14:textId="50995AA6" w:rsidR="003A1F04" w:rsidRPr="005576E1" w:rsidRDefault="005576E1"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Saint Louis</w:t>
            </w:r>
          </w:p>
        </w:tc>
      </w:tr>
      <w:tr w:rsidR="003A1F04" w:rsidRPr="005576E1" w14:paraId="352DC509" w14:textId="77777777" w:rsidTr="0025040E">
        <w:trPr>
          <w:jc w:val="center"/>
        </w:trPr>
        <w:tc>
          <w:tcPr>
            <w:tcW w:w="4917" w:type="dxa"/>
            <w:tcBorders>
              <w:top w:val="nil"/>
              <w:left w:val="nil"/>
              <w:bottom w:val="nil"/>
              <w:right w:val="nil"/>
            </w:tcBorders>
          </w:tcPr>
          <w:p w14:paraId="5BD8F09C" w14:textId="77777777" w:rsidR="003A1F04" w:rsidRPr="005576E1" w:rsidRDefault="003A1F04" w:rsidP="005576E1">
            <w:pPr>
              <w:widowControl w:val="0"/>
              <w:autoSpaceDE w:val="0"/>
              <w:autoSpaceDN w:val="0"/>
              <w:adjustRightInd w:val="0"/>
              <w:spacing w:after="66"/>
              <w:rPr>
                <w:rFonts w:ascii="Times New Roman" w:hAnsi="Times New Roman" w:cs="Times New Roman"/>
                <w:sz w:val="20"/>
                <w:szCs w:val="20"/>
              </w:rPr>
            </w:pPr>
          </w:p>
        </w:tc>
        <w:tc>
          <w:tcPr>
            <w:tcW w:w="2346" w:type="dxa"/>
            <w:tcBorders>
              <w:top w:val="nil"/>
              <w:left w:val="dashed" w:sz="6" w:space="0" w:color="auto"/>
              <w:bottom w:val="nil"/>
              <w:right w:val="nil"/>
            </w:tcBorders>
          </w:tcPr>
          <w:p w14:paraId="2C9381BD" w14:textId="77777777" w:rsidR="003A1F04" w:rsidRPr="005576E1" w:rsidRDefault="003A1F04"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803" w:type="dxa"/>
            <w:tcBorders>
              <w:top w:val="nil"/>
              <w:left w:val="nil"/>
              <w:bottom w:val="nil"/>
              <w:right w:val="nil"/>
            </w:tcBorders>
          </w:tcPr>
          <w:p w14:paraId="31E50D2C" w14:textId="77777777" w:rsidR="003A1F04" w:rsidRPr="005576E1" w:rsidRDefault="003A1F04"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c>
          <w:tcPr>
            <w:tcW w:w="2091" w:type="dxa"/>
            <w:tcBorders>
              <w:top w:val="nil"/>
              <w:left w:val="nil"/>
              <w:bottom w:val="nil"/>
              <w:right w:val="nil"/>
            </w:tcBorders>
          </w:tcPr>
          <w:p w14:paraId="3B371ED6" w14:textId="77777777" w:rsidR="003A1F04" w:rsidRPr="005576E1" w:rsidRDefault="003A1F04"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803" w:type="dxa"/>
            <w:tcBorders>
              <w:top w:val="nil"/>
              <w:left w:val="nil"/>
              <w:bottom w:val="nil"/>
              <w:right w:val="nil"/>
            </w:tcBorders>
          </w:tcPr>
          <w:p w14:paraId="4CA6C704" w14:textId="77777777" w:rsidR="003A1F04" w:rsidRPr="005576E1" w:rsidRDefault="003A1F04"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r>
      <w:tr w:rsidR="003A1F04" w:rsidRPr="005576E1" w14:paraId="6E2A1B78" w14:textId="77777777" w:rsidTr="0025040E">
        <w:trPr>
          <w:jc w:val="center"/>
        </w:trPr>
        <w:tc>
          <w:tcPr>
            <w:tcW w:w="4917" w:type="dxa"/>
            <w:tcBorders>
              <w:top w:val="single" w:sz="6" w:space="0" w:color="auto"/>
              <w:left w:val="nil"/>
              <w:bottom w:val="nil"/>
              <w:right w:val="nil"/>
            </w:tcBorders>
          </w:tcPr>
          <w:p w14:paraId="37ECC948"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Total</w:t>
            </w:r>
          </w:p>
        </w:tc>
        <w:tc>
          <w:tcPr>
            <w:tcW w:w="2346" w:type="dxa"/>
            <w:tcBorders>
              <w:top w:val="single" w:sz="6" w:space="0" w:color="auto"/>
              <w:left w:val="dashed" w:sz="6" w:space="0" w:color="auto"/>
              <w:bottom w:val="nil"/>
              <w:right w:val="nil"/>
            </w:tcBorders>
          </w:tcPr>
          <w:p w14:paraId="11F28EEC"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-0.083</w:t>
            </w:r>
          </w:p>
        </w:tc>
        <w:tc>
          <w:tcPr>
            <w:tcW w:w="1803" w:type="dxa"/>
            <w:tcBorders>
              <w:top w:val="single" w:sz="6" w:space="0" w:color="auto"/>
              <w:left w:val="nil"/>
              <w:bottom w:val="nil"/>
              <w:right w:val="nil"/>
            </w:tcBorders>
          </w:tcPr>
          <w:p w14:paraId="2161BD51"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-0.065</w:t>
            </w:r>
          </w:p>
        </w:tc>
        <w:tc>
          <w:tcPr>
            <w:tcW w:w="2091" w:type="dxa"/>
            <w:tcBorders>
              <w:top w:val="single" w:sz="6" w:space="0" w:color="auto"/>
              <w:left w:val="nil"/>
              <w:bottom w:val="nil"/>
              <w:right w:val="nil"/>
            </w:tcBorders>
          </w:tcPr>
          <w:p w14:paraId="3DA88E23"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-0.155**</w:t>
            </w:r>
          </w:p>
        </w:tc>
        <w:tc>
          <w:tcPr>
            <w:tcW w:w="1803" w:type="dxa"/>
            <w:tcBorders>
              <w:top w:val="single" w:sz="6" w:space="0" w:color="auto"/>
              <w:left w:val="nil"/>
              <w:bottom w:val="nil"/>
              <w:right w:val="nil"/>
            </w:tcBorders>
          </w:tcPr>
          <w:p w14:paraId="0661BA06"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-0.093**</w:t>
            </w:r>
          </w:p>
        </w:tc>
      </w:tr>
      <w:tr w:rsidR="003A1F04" w:rsidRPr="005576E1" w14:paraId="73717007" w14:textId="77777777" w:rsidTr="0025040E">
        <w:trPr>
          <w:jc w:val="center"/>
        </w:trPr>
        <w:tc>
          <w:tcPr>
            <w:tcW w:w="4917" w:type="dxa"/>
            <w:tcBorders>
              <w:top w:val="nil"/>
              <w:left w:val="nil"/>
              <w:bottom w:val="nil"/>
              <w:right w:val="nil"/>
            </w:tcBorders>
          </w:tcPr>
          <w:p w14:paraId="606CB9A3"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61A838C"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(0.088)</w:t>
            </w:r>
          </w:p>
        </w:tc>
        <w:tc>
          <w:tcPr>
            <w:tcW w:w="1803" w:type="dxa"/>
            <w:tcBorders>
              <w:top w:val="nil"/>
              <w:left w:val="nil"/>
              <w:bottom w:val="nil"/>
              <w:right w:val="nil"/>
            </w:tcBorders>
          </w:tcPr>
          <w:p w14:paraId="023569D4"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(0.076)</w:t>
            </w:r>
          </w:p>
        </w:tc>
        <w:tc>
          <w:tcPr>
            <w:tcW w:w="2091" w:type="dxa"/>
            <w:tcBorders>
              <w:top w:val="nil"/>
              <w:left w:val="nil"/>
              <w:bottom w:val="nil"/>
              <w:right w:val="nil"/>
            </w:tcBorders>
          </w:tcPr>
          <w:p w14:paraId="5629A6EE"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c>
          <w:tcPr>
            <w:tcW w:w="1803" w:type="dxa"/>
            <w:tcBorders>
              <w:top w:val="nil"/>
              <w:left w:val="nil"/>
              <w:bottom w:val="nil"/>
              <w:right w:val="nil"/>
            </w:tcBorders>
          </w:tcPr>
          <w:p w14:paraId="16F5EC28"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(0.010)</w:t>
            </w:r>
          </w:p>
        </w:tc>
      </w:tr>
      <w:tr w:rsidR="003A1F04" w:rsidRPr="005576E1" w14:paraId="5C2381FB" w14:textId="77777777" w:rsidTr="0025040E">
        <w:trPr>
          <w:jc w:val="center"/>
        </w:trPr>
        <w:tc>
          <w:tcPr>
            <w:tcW w:w="4917" w:type="dxa"/>
            <w:tcBorders>
              <w:top w:val="nil"/>
              <w:left w:val="nil"/>
              <w:bottom w:val="nil"/>
              <w:right w:val="nil"/>
            </w:tcBorders>
          </w:tcPr>
          <w:p w14:paraId="61E3B0E8"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Manufacturing</w:t>
            </w:r>
          </w:p>
        </w:tc>
        <w:tc>
          <w:tcPr>
            <w:tcW w:w="2346" w:type="dxa"/>
            <w:tcBorders>
              <w:top w:val="nil"/>
              <w:left w:val="dashed" w:sz="6" w:space="0" w:color="auto"/>
              <w:bottom w:val="nil"/>
              <w:right w:val="nil"/>
            </w:tcBorders>
          </w:tcPr>
          <w:p w14:paraId="77069190"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-0.120</w:t>
            </w:r>
          </w:p>
        </w:tc>
        <w:tc>
          <w:tcPr>
            <w:tcW w:w="1803" w:type="dxa"/>
            <w:tcBorders>
              <w:top w:val="nil"/>
              <w:left w:val="nil"/>
              <w:bottom w:val="nil"/>
              <w:right w:val="nil"/>
            </w:tcBorders>
          </w:tcPr>
          <w:p w14:paraId="520B46FC"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-0.081</w:t>
            </w:r>
          </w:p>
        </w:tc>
        <w:tc>
          <w:tcPr>
            <w:tcW w:w="2091" w:type="dxa"/>
            <w:tcBorders>
              <w:top w:val="nil"/>
              <w:left w:val="nil"/>
              <w:bottom w:val="nil"/>
              <w:right w:val="nil"/>
            </w:tcBorders>
          </w:tcPr>
          <w:p w14:paraId="15AF0D30"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-0.320**</w:t>
            </w:r>
          </w:p>
        </w:tc>
        <w:tc>
          <w:tcPr>
            <w:tcW w:w="1803" w:type="dxa"/>
            <w:tcBorders>
              <w:top w:val="nil"/>
              <w:left w:val="nil"/>
              <w:bottom w:val="nil"/>
              <w:right w:val="nil"/>
            </w:tcBorders>
          </w:tcPr>
          <w:p w14:paraId="7799A388"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-0.202**</w:t>
            </w:r>
          </w:p>
        </w:tc>
      </w:tr>
      <w:tr w:rsidR="003A1F04" w:rsidRPr="005576E1" w14:paraId="464343BE" w14:textId="77777777" w:rsidTr="0025040E">
        <w:trPr>
          <w:jc w:val="center"/>
        </w:trPr>
        <w:tc>
          <w:tcPr>
            <w:tcW w:w="4917" w:type="dxa"/>
            <w:tcBorders>
              <w:top w:val="nil"/>
              <w:left w:val="nil"/>
              <w:bottom w:val="nil"/>
              <w:right w:val="nil"/>
            </w:tcBorders>
          </w:tcPr>
          <w:p w14:paraId="593E5179"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6C88040"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(0.164)</w:t>
            </w:r>
          </w:p>
        </w:tc>
        <w:tc>
          <w:tcPr>
            <w:tcW w:w="1803" w:type="dxa"/>
            <w:tcBorders>
              <w:top w:val="nil"/>
              <w:left w:val="nil"/>
              <w:bottom w:val="nil"/>
              <w:right w:val="nil"/>
            </w:tcBorders>
          </w:tcPr>
          <w:p w14:paraId="14ECE34E"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(0.157)</w:t>
            </w:r>
          </w:p>
        </w:tc>
        <w:tc>
          <w:tcPr>
            <w:tcW w:w="2091" w:type="dxa"/>
            <w:tcBorders>
              <w:top w:val="nil"/>
              <w:left w:val="nil"/>
              <w:bottom w:val="nil"/>
              <w:right w:val="nil"/>
            </w:tcBorders>
          </w:tcPr>
          <w:p w14:paraId="5ED8E8D2"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(0.048)</w:t>
            </w:r>
          </w:p>
        </w:tc>
        <w:tc>
          <w:tcPr>
            <w:tcW w:w="1803" w:type="dxa"/>
            <w:tcBorders>
              <w:top w:val="nil"/>
              <w:left w:val="nil"/>
              <w:bottom w:val="nil"/>
              <w:right w:val="nil"/>
            </w:tcBorders>
          </w:tcPr>
          <w:p w14:paraId="4268B70D"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(0.027)</w:t>
            </w:r>
          </w:p>
        </w:tc>
      </w:tr>
      <w:tr w:rsidR="003A1F04" w:rsidRPr="005576E1" w14:paraId="1B37BD82" w14:textId="77777777" w:rsidTr="0025040E">
        <w:trPr>
          <w:jc w:val="center"/>
        </w:trPr>
        <w:tc>
          <w:tcPr>
            <w:tcW w:w="4917" w:type="dxa"/>
            <w:tcBorders>
              <w:top w:val="nil"/>
              <w:left w:val="nil"/>
              <w:bottom w:val="nil"/>
              <w:right w:val="nil"/>
            </w:tcBorders>
          </w:tcPr>
          <w:p w14:paraId="1D8A9795"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Retail</w:t>
            </w:r>
          </w:p>
        </w:tc>
        <w:tc>
          <w:tcPr>
            <w:tcW w:w="2346" w:type="dxa"/>
            <w:tcBorders>
              <w:top w:val="nil"/>
              <w:left w:val="dashed" w:sz="6" w:space="0" w:color="auto"/>
              <w:bottom w:val="nil"/>
              <w:right w:val="nil"/>
            </w:tcBorders>
          </w:tcPr>
          <w:p w14:paraId="68E5F483"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-0.022</w:t>
            </w:r>
          </w:p>
        </w:tc>
        <w:tc>
          <w:tcPr>
            <w:tcW w:w="1803" w:type="dxa"/>
            <w:tcBorders>
              <w:top w:val="nil"/>
              <w:left w:val="nil"/>
              <w:bottom w:val="nil"/>
              <w:right w:val="nil"/>
            </w:tcBorders>
          </w:tcPr>
          <w:p w14:paraId="58E22712"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0.026</w:t>
            </w:r>
          </w:p>
        </w:tc>
        <w:tc>
          <w:tcPr>
            <w:tcW w:w="2091" w:type="dxa"/>
            <w:tcBorders>
              <w:top w:val="nil"/>
              <w:left w:val="nil"/>
              <w:bottom w:val="nil"/>
              <w:right w:val="nil"/>
            </w:tcBorders>
          </w:tcPr>
          <w:p w14:paraId="7701C370"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-0.117**</w:t>
            </w:r>
          </w:p>
        </w:tc>
        <w:tc>
          <w:tcPr>
            <w:tcW w:w="1803" w:type="dxa"/>
            <w:tcBorders>
              <w:top w:val="nil"/>
              <w:left w:val="nil"/>
              <w:bottom w:val="nil"/>
              <w:right w:val="nil"/>
            </w:tcBorders>
          </w:tcPr>
          <w:p w14:paraId="19B3A117"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-0.069**</w:t>
            </w:r>
          </w:p>
        </w:tc>
      </w:tr>
      <w:tr w:rsidR="003A1F04" w:rsidRPr="005576E1" w14:paraId="06133609" w14:textId="77777777" w:rsidTr="0025040E">
        <w:trPr>
          <w:jc w:val="center"/>
        </w:trPr>
        <w:tc>
          <w:tcPr>
            <w:tcW w:w="4917" w:type="dxa"/>
            <w:tcBorders>
              <w:top w:val="nil"/>
              <w:left w:val="nil"/>
              <w:bottom w:val="nil"/>
              <w:right w:val="nil"/>
            </w:tcBorders>
          </w:tcPr>
          <w:p w14:paraId="446DE903"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790E830"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(0.122)</w:t>
            </w:r>
          </w:p>
        </w:tc>
        <w:tc>
          <w:tcPr>
            <w:tcW w:w="1803" w:type="dxa"/>
            <w:tcBorders>
              <w:top w:val="nil"/>
              <w:left w:val="nil"/>
              <w:bottom w:val="nil"/>
              <w:right w:val="nil"/>
            </w:tcBorders>
          </w:tcPr>
          <w:p w14:paraId="1D2859F3"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(0.116)</w:t>
            </w:r>
          </w:p>
        </w:tc>
        <w:tc>
          <w:tcPr>
            <w:tcW w:w="2091" w:type="dxa"/>
            <w:tcBorders>
              <w:top w:val="nil"/>
              <w:left w:val="nil"/>
              <w:bottom w:val="nil"/>
              <w:right w:val="nil"/>
            </w:tcBorders>
          </w:tcPr>
          <w:p w14:paraId="300F70F5"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(0.034)</w:t>
            </w:r>
          </w:p>
        </w:tc>
        <w:tc>
          <w:tcPr>
            <w:tcW w:w="1803" w:type="dxa"/>
            <w:tcBorders>
              <w:top w:val="nil"/>
              <w:left w:val="nil"/>
              <w:bottom w:val="nil"/>
              <w:right w:val="nil"/>
            </w:tcBorders>
          </w:tcPr>
          <w:p w14:paraId="5B6D2AE3"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(0.018)</w:t>
            </w:r>
          </w:p>
        </w:tc>
      </w:tr>
      <w:tr w:rsidR="003A1F04" w:rsidRPr="005576E1" w14:paraId="2BF83CA8" w14:textId="77777777" w:rsidTr="0025040E">
        <w:trPr>
          <w:jc w:val="center"/>
        </w:trPr>
        <w:tc>
          <w:tcPr>
            <w:tcW w:w="4917" w:type="dxa"/>
            <w:tcBorders>
              <w:top w:val="nil"/>
              <w:left w:val="nil"/>
              <w:bottom w:val="nil"/>
              <w:right w:val="nil"/>
            </w:tcBorders>
          </w:tcPr>
          <w:p w14:paraId="2A0CBC81"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Services</w:t>
            </w:r>
          </w:p>
        </w:tc>
        <w:tc>
          <w:tcPr>
            <w:tcW w:w="2346" w:type="dxa"/>
            <w:tcBorders>
              <w:top w:val="nil"/>
              <w:left w:val="dashed" w:sz="6" w:space="0" w:color="auto"/>
              <w:bottom w:val="nil"/>
              <w:right w:val="nil"/>
            </w:tcBorders>
          </w:tcPr>
          <w:p w14:paraId="45A87469"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-0.047</w:t>
            </w:r>
          </w:p>
        </w:tc>
        <w:tc>
          <w:tcPr>
            <w:tcW w:w="1803" w:type="dxa"/>
            <w:tcBorders>
              <w:top w:val="nil"/>
              <w:left w:val="nil"/>
              <w:bottom w:val="nil"/>
              <w:right w:val="nil"/>
            </w:tcBorders>
          </w:tcPr>
          <w:p w14:paraId="6A86A7EC"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-0.091</w:t>
            </w:r>
          </w:p>
        </w:tc>
        <w:tc>
          <w:tcPr>
            <w:tcW w:w="2091" w:type="dxa"/>
            <w:tcBorders>
              <w:top w:val="nil"/>
              <w:left w:val="nil"/>
              <w:bottom w:val="nil"/>
              <w:right w:val="nil"/>
            </w:tcBorders>
          </w:tcPr>
          <w:p w14:paraId="4AE50963"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-0.073**</w:t>
            </w:r>
          </w:p>
        </w:tc>
        <w:tc>
          <w:tcPr>
            <w:tcW w:w="1803" w:type="dxa"/>
            <w:tcBorders>
              <w:top w:val="nil"/>
              <w:left w:val="nil"/>
              <w:bottom w:val="nil"/>
              <w:right w:val="nil"/>
            </w:tcBorders>
          </w:tcPr>
          <w:p w14:paraId="4FA5F015"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-0.072**</w:t>
            </w:r>
          </w:p>
        </w:tc>
      </w:tr>
      <w:tr w:rsidR="003A1F04" w:rsidRPr="005576E1" w14:paraId="0889965B" w14:textId="77777777" w:rsidTr="0025040E">
        <w:trPr>
          <w:jc w:val="center"/>
        </w:trPr>
        <w:tc>
          <w:tcPr>
            <w:tcW w:w="4917" w:type="dxa"/>
            <w:tcBorders>
              <w:top w:val="nil"/>
              <w:left w:val="nil"/>
              <w:bottom w:val="nil"/>
              <w:right w:val="nil"/>
            </w:tcBorders>
          </w:tcPr>
          <w:p w14:paraId="6D3BC980"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29AE36DA"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(0.085)</w:t>
            </w:r>
          </w:p>
        </w:tc>
        <w:tc>
          <w:tcPr>
            <w:tcW w:w="1803" w:type="dxa"/>
            <w:tcBorders>
              <w:top w:val="nil"/>
              <w:left w:val="nil"/>
              <w:bottom w:val="nil"/>
              <w:right w:val="nil"/>
            </w:tcBorders>
          </w:tcPr>
          <w:p w14:paraId="1B7B0CB5"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(0.089)</w:t>
            </w:r>
          </w:p>
        </w:tc>
        <w:tc>
          <w:tcPr>
            <w:tcW w:w="2091" w:type="dxa"/>
            <w:tcBorders>
              <w:top w:val="nil"/>
              <w:left w:val="nil"/>
              <w:bottom w:val="nil"/>
              <w:right w:val="nil"/>
            </w:tcBorders>
          </w:tcPr>
          <w:p w14:paraId="5AA3487B"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(0.028)</w:t>
            </w:r>
          </w:p>
        </w:tc>
        <w:tc>
          <w:tcPr>
            <w:tcW w:w="1803" w:type="dxa"/>
            <w:tcBorders>
              <w:top w:val="nil"/>
              <w:left w:val="nil"/>
              <w:bottom w:val="nil"/>
              <w:right w:val="nil"/>
            </w:tcBorders>
          </w:tcPr>
          <w:p w14:paraId="45207086"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3A1F04" w:rsidRPr="005576E1" w14:paraId="4152CDE6" w14:textId="77777777" w:rsidTr="0025040E">
        <w:trPr>
          <w:jc w:val="center"/>
        </w:trPr>
        <w:tc>
          <w:tcPr>
            <w:tcW w:w="4917" w:type="dxa"/>
            <w:tcBorders>
              <w:top w:val="nil"/>
              <w:left w:val="nil"/>
              <w:bottom w:val="nil"/>
              <w:right w:val="nil"/>
            </w:tcBorders>
          </w:tcPr>
          <w:p w14:paraId="2159D416"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Total</w:t>
            </w:r>
          </w:p>
        </w:tc>
        <w:tc>
          <w:tcPr>
            <w:tcW w:w="2346" w:type="dxa"/>
            <w:tcBorders>
              <w:top w:val="nil"/>
              <w:left w:val="dashed" w:sz="6" w:space="0" w:color="auto"/>
              <w:bottom w:val="nil"/>
              <w:right w:val="nil"/>
            </w:tcBorders>
          </w:tcPr>
          <w:p w14:paraId="0E2A1E38"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-0.107</w:t>
            </w:r>
          </w:p>
        </w:tc>
        <w:tc>
          <w:tcPr>
            <w:tcW w:w="1803" w:type="dxa"/>
            <w:tcBorders>
              <w:top w:val="nil"/>
              <w:left w:val="nil"/>
              <w:bottom w:val="nil"/>
              <w:right w:val="nil"/>
            </w:tcBorders>
          </w:tcPr>
          <w:p w14:paraId="00D6161A"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-0.073</w:t>
            </w:r>
          </w:p>
        </w:tc>
        <w:tc>
          <w:tcPr>
            <w:tcW w:w="2091" w:type="dxa"/>
            <w:tcBorders>
              <w:top w:val="nil"/>
              <w:left w:val="nil"/>
              <w:bottom w:val="nil"/>
              <w:right w:val="nil"/>
            </w:tcBorders>
          </w:tcPr>
          <w:p w14:paraId="301A8910"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-0.220**</w:t>
            </w:r>
          </w:p>
        </w:tc>
        <w:tc>
          <w:tcPr>
            <w:tcW w:w="1803" w:type="dxa"/>
            <w:tcBorders>
              <w:top w:val="nil"/>
              <w:left w:val="nil"/>
              <w:bottom w:val="nil"/>
              <w:right w:val="nil"/>
            </w:tcBorders>
          </w:tcPr>
          <w:p w14:paraId="0508E556"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-0.178**</w:t>
            </w:r>
          </w:p>
        </w:tc>
      </w:tr>
      <w:tr w:rsidR="003A1F04" w:rsidRPr="005576E1" w14:paraId="5F4661A4" w14:textId="77777777" w:rsidTr="0025040E">
        <w:trPr>
          <w:jc w:val="center"/>
        </w:trPr>
        <w:tc>
          <w:tcPr>
            <w:tcW w:w="4917" w:type="dxa"/>
            <w:tcBorders>
              <w:top w:val="nil"/>
              <w:left w:val="nil"/>
              <w:bottom w:val="nil"/>
              <w:right w:val="nil"/>
            </w:tcBorders>
          </w:tcPr>
          <w:p w14:paraId="20B1D4D9"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613F545C"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(0.094)</w:t>
            </w:r>
          </w:p>
        </w:tc>
        <w:tc>
          <w:tcPr>
            <w:tcW w:w="1803" w:type="dxa"/>
            <w:tcBorders>
              <w:top w:val="nil"/>
              <w:left w:val="nil"/>
              <w:bottom w:val="nil"/>
              <w:right w:val="nil"/>
            </w:tcBorders>
          </w:tcPr>
          <w:p w14:paraId="55942ADB"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(0.082)</w:t>
            </w:r>
          </w:p>
        </w:tc>
        <w:tc>
          <w:tcPr>
            <w:tcW w:w="2091" w:type="dxa"/>
            <w:tcBorders>
              <w:top w:val="nil"/>
              <w:left w:val="nil"/>
              <w:bottom w:val="nil"/>
              <w:right w:val="nil"/>
            </w:tcBorders>
          </w:tcPr>
          <w:p w14:paraId="303D00CE"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(0.024)</w:t>
            </w:r>
          </w:p>
        </w:tc>
        <w:tc>
          <w:tcPr>
            <w:tcW w:w="1803" w:type="dxa"/>
            <w:tcBorders>
              <w:top w:val="nil"/>
              <w:left w:val="nil"/>
              <w:bottom w:val="nil"/>
              <w:right w:val="nil"/>
            </w:tcBorders>
          </w:tcPr>
          <w:p w14:paraId="2F54B23C"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3A1F04" w:rsidRPr="005576E1" w14:paraId="351C9F36" w14:textId="77777777" w:rsidTr="0025040E">
        <w:trPr>
          <w:jc w:val="center"/>
        </w:trPr>
        <w:tc>
          <w:tcPr>
            <w:tcW w:w="4917" w:type="dxa"/>
            <w:tcBorders>
              <w:top w:val="nil"/>
              <w:left w:val="nil"/>
              <w:bottom w:val="nil"/>
              <w:right w:val="nil"/>
            </w:tcBorders>
          </w:tcPr>
          <w:p w14:paraId="2A1CB31C"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Manufacturing</w:t>
            </w:r>
          </w:p>
        </w:tc>
        <w:tc>
          <w:tcPr>
            <w:tcW w:w="2346" w:type="dxa"/>
            <w:tcBorders>
              <w:top w:val="nil"/>
              <w:left w:val="dashed" w:sz="6" w:space="0" w:color="auto"/>
              <w:bottom w:val="nil"/>
              <w:right w:val="nil"/>
            </w:tcBorders>
          </w:tcPr>
          <w:p w14:paraId="2A100D8B"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-0.060</w:t>
            </w:r>
          </w:p>
        </w:tc>
        <w:tc>
          <w:tcPr>
            <w:tcW w:w="1803" w:type="dxa"/>
            <w:tcBorders>
              <w:top w:val="nil"/>
              <w:left w:val="nil"/>
              <w:bottom w:val="nil"/>
              <w:right w:val="nil"/>
            </w:tcBorders>
          </w:tcPr>
          <w:p w14:paraId="44E45534"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-0.059</w:t>
            </w:r>
          </w:p>
        </w:tc>
        <w:tc>
          <w:tcPr>
            <w:tcW w:w="2091" w:type="dxa"/>
            <w:tcBorders>
              <w:top w:val="nil"/>
              <w:left w:val="nil"/>
              <w:bottom w:val="nil"/>
              <w:right w:val="nil"/>
            </w:tcBorders>
          </w:tcPr>
          <w:p w14:paraId="06A57F37"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-0.317**</w:t>
            </w:r>
          </w:p>
        </w:tc>
        <w:tc>
          <w:tcPr>
            <w:tcW w:w="1803" w:type="dxa"/>
            <w:tcBorders>
              <w:top w:val="nil"/>
              <w:left w:val="nil"/>
              <w:bottom w:val="nil"/>
              <w:right w:val="nil"/>
            </w:tcBorders>
          </w:tcPr>
          <w:p w14:paraId="160E13DC"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-0.214**</w:t>
            </w:r>
          </w:p>
        </w:tc>
      </w:tr>
      <w:tr w:rsidR="003A1F04" w:rsidRPr="005576E1" w14:paraId="23DD06EB" w14:textId="77777777" w:rsidTr="0025040E">
        <w:trPr>
          <w:jc w:val="center"/>
        </w:trPr>
        <w:tc>
          <w:tcPr>
            <w:tcW w:w="4917" w:type="dxa"/>
            <w:tcBorders>
              <w:top w:val="nil"/>
              <w:left w:val="nil"/>
              <w:bottom w:val="nil"/>
              <w:right w:val="nil"/>
            </w:tcBorders>
          </w:tcPr>
          <w:p w14:paraId="2614AE9D"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027B8844"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(0.253)</w:t>
            </w:r>
          </w:p>
        </w:tc>
        <w:tc>
          <w:tcPr>
            <w:tcW w:w="1803" w:type="dxa"/>
            <w:tcBorders>
              <w:top w:val="nil"/>
              <w:left w:val="nil"/>
              <w:bottom w:val="nil"/>
              <w:right w:val="nil"/>
            </w:tcBorders>
          </w:tcPr>
          <w:p w14:paraId="58275A44"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(0.249)</w:t>
            </w:r>
          </w:p>
        </w:tc>
        <w:tc>
          <w:tcPr>
            <w:tcW w:w="2091" w:type="dxa"/>
            <w:tcBorders>
              <w:top w:val="nil"/>
              <w:left w:val="nil"/>
              <w:bottom w:val="nil"/>
              <w:right w:val="nil"/>
            </w:tcBorders>
          </w:tcPr>
          <w:p w14:paraId="78BEBA12"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(0.058)</w:t>
            </w:r>
          </w:p>
        </w:tc>
        <w:tc>
          <w:tcPr>
            <w:tcW w:w="1803" w:type="dxa"/>
            <w:tcBorders>
              <w:top w:val="nil"/>
              <w:left w:val="nil"/>
              <w:bottom w:val="nil"/>
              <w:right w:val="nil"/>
            </w:tcBorders>
          </w:tcPr>
          <w:p w14:paraId="47F52D70"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(0.033)</w:t>
            </w:r>
          </w:p>
        </w:tc>
      </w:tr>
      <w:tr w:rsidR="003A1F04" w:rsidRPr="005576E1" w14:paraId="1186B01D" w14:textId="77777777" w:rsidTr="0025040E">
        <w:trPr>
          <w:jc w:val="center"/>
        </w:trPr>
        <w:tc>
          <w:tcPr>
            <w:tcW w:w="4917" w:type="dxa"/>
            <w:tcBorders>
              <w:top w:val="nil"/>
              <w:left w:val="nil"/>
              <w:bottom w:val="nil"/>
              <w:right w:val="nil"/>
            </w:tcBorders>
          </w:tcPr>
          <w:p w14:paraId="715F280E"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Retail</w:t>
            </w:r>
          </w:p>
        </w:tc>
        <w:tc>
          <w:tcPr>
            <w:tcW w:w="2346" w:type="dxa"/>
            <w:tcBorders>
              <w:top w:val="nil"/>
              <w:left w:val="dashed" w:sz="6" w:space="0" w:color="auto"/>
              <w:bottom w:val="nil"/>
              <w:right w:val="nil"/>
            </w:tcBorders>
          </w:tcPr>
          <w:p w14:paraId="6A909440"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0.015</w:t>
            </w:r>
          </w:p>
        </w:tc>
        <w:tc>
          <w:tcPr>
            <w:tcW w:w="1803" w:type="dxa"/>
            <w:tcBorders>
              <w:top w:val="nil"/>
              <w:left w:val="nil"/>
              <w:bottom w:val="nil"/>
              <w:right w:val="nil"/>
            </w:tcBorders>
          </w:tcPr>
          <w:p w14:paraId="47943C22"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0.069</w:t>
            </w:r>
          </w:p>
        </w:tc>
        <w:tc>
          <w:tcPr>
            <w:tcW w:w="2091" w:type="dxa"/>
            <w:tcBorders>
              <w:top w:val="nil"/>
              <w:left w:val="nil"/>
              <w:bottom w:val="nil"/>
              <w:right w:val="nil"/>
            </w:tcBorders>
          </w:tcPr>
          <w:p w14:paraId="1CD3B8E0"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-0.164**</w:t>
            </w:r>
          </w:p>
        </w:tc>
        <w:tc>
          <w:tcPr>
            <w:tcW w:w="1803" w:type="dxa"/>
            <w:tcBorders>
              <w:top w:val="nil"/>
              <w:left w:val="nil"/>
              <w:bottom w:val="nil"/>
              <w:right w:val="nil"/>
            </w:tcBorders>
          </w:tcPr>
          <w:p w14:paraId="016818A9"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-0.108**</w:t>
            </w:r>
          </w:p>
        </w:tc>
      </w:tr>
      <w:tr w:rsidR="003A1F04" w:rsidRPr="005576E1" w14:paraId="2D51B2BB" w14:textId="77777777" w:rsidTr="0025040E">
        <w:trPr>
          <w:jc w:val="center"/>
        </w:trPr>
        <w:tc>
          <w:tcPr>
            <w:tcW w:w="4917" w:type="dxa"/>
            <w:tcBorders>
              <w:top w:val="nil"/>
              <w:left w:val="nil"/>
              <w:bottom w:val="nil"/>
              <w:right w:val="nil"/>
            </w:tcBorders>
          </w:tcPr>
          <w:p w14:paraId="771EFC29"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7ABC9C00"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(0.143)</w:t>
            </w:r>
          </w:p>
        </w:tc>
        <w:tc>
          <w:tcPr>
            <w:tcW w:w="1803" w:type="dxa"/>
            <w:tcBorders>
              <w:top w:val="nil"/>
              <w:left w:val="nil"/>
              <w:bottom w:val="nil"/>
              <w:right w:val="nil"/>
            </w:tcBorders>
          </w:tcPr>
          <w:p w14:paraId="30B9B233"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(0.135)</w:t>
            </w:r>
          </w:p>
        </w:tc>
        <w:tc>
          <w:tcPr>
            <w:tcW w:w="2091" w:type="dxa"/>
            <w:tcBorders>
              <w:top w:val="nil"/>
              <w:left w:val="nil"/>
              <w:bottom w:val="nil"/>
              <w:right w:val="nil"/>
            </w:tcBorders>
          </w:tcPr>
          <w:p w14:paraId="5EF60E4A"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(0.040)</w:t>
            </w:r>
          </w:p>
        </w:tc>
        <w:tc>
          <w:tcPr>
            <w:tcW w:w="1803" w:type="dxa"/>
            <w:tcBorders>
              <w:top w:val="nil"/>
              <w:left w:val="nil"/>
              <w:bottom w:val="nil"/>
              <w:right w:val="nil"/>
            </w:tcBorders>
          </w:tcPr>
          <w:p w14:paraId="208F1CD4"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r>
      <w:tr w:rsidR="003A1F04" w:rsidRPr="005576E1" w14:paraId="2551F5C6" w14:textId="77777777" w:rsidTr="0025040E">
        <w:trPr>
          <w:jc w:val="center"/>
        </w:trPr>
        <w:tc>
          <w:tcPr>
            <w:tcW w:w="4917" w:type="dxa"/>
            <w:tcBorders>
              <w:top w:val="nil"/>
              <w:left w:val="nil"/>
              <w:bottom w:val="nil"/>
              <w:right w:val="nil"/>
            </w:tcBorders>
          </w:tcPr>
          <w:p w14:paraId="32426EE0"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Services</w:t>
            </w:r>
          </w:p>
        </w:tc>
        <w:tc>
          <w:tcPr>
            <w:tcW w:w="2346" w:type="dxa"/>
            <w:tcBorders>
              <w:top w:val="nil"/>
              <w:left w:val="dashed" w:sz="6" w:space="0" w:color="auto"/>
              <w:bottom w:val="nil"/>
              <w:right w:val="nil"/>
            </w:tcBorders>
          </w:tcPr>
          <w:p w14:paraId="39A45108"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-0.078</w:t>
            </w:r>
          </w:p>
        </w:tc>
        <w:tc>
          <w:tcPr>
            <w:tcW w:w="1803" w:type="dxa"/>
            <w:tcBorders>
              <w:top w:val="nil"/>
              <w:left w:val="nil"/>
              <w:bottom w:val="nil"/>
              <w:right w:val="nil"/>
            </w:tcBorders>
          </w:tcPr>
          <w:p w14:paraId="6FC56896"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-0.121</w:t>
            </w:r>
          </w:p>
        </w:tc>
        <w:tc>
          <w:tcPr>
            <w:tcW w:w="2091" w:type="dxa"/>
            <w:tcBorders>
              <w:top w:val="nil"/>
              <w:left w:val="nil"/>
              <w:bottom w:val="nil"/>
              <w:right w:val="nil"/>
            </w:tcBorders>
          </w:tcPr>
          <w:p w14:paraId="034A23AE"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-0.117**</w:t>
            </w:r>
          </w:p>
        </w:tc>
        <w:tc>
          <w:tcPr>
            <w:tcW w:w="1803" w:type="dxa"/>
            <w:tcBorders>
              <w:top w:val="nil"/>
              <w:left w:val="nil"/>
              <w:bottom w:val="nil"/>
              <w:right w:val="nil"/>
            </w:tcBorders>
          </w:tcPr>
          <w:p w14:paraId="4E476DF4"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-0.149**</w:t>
            </w:r>
          </w:p>
        </w:tc>
      </w:tr>
      <w:tr w:rsidR="003A1F04" w:rsidRPr="005576E1" w14:paraId="1D5D2F45" w14:textId="77777777" w:rsidTr="0025040E">
        <w:trPr>
          <w:jc w:val="center"/>
        </w:trPr>
        <w:tc>
          <w:tcPr>
            <w:tcW w:w="4917" w:type="dxa"/>
            <w:tcBorders>
              <w:top w:val="nil"/>
              <w:left w:val="nil"/>
              <w:bottom w:val="nil"/>
              <w:right w:val="nil"/>
            </w:tcBorders>
          </w:tcPr>
          <w:p w14:paraId="544E6606"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5EACDDC1"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(0.096)</w:t>
            </w:r>
          </w:p>
        </w:tc>
        <w:tc>
          <w:tcPr>
            <w:tcW w:w="1803" w:type="dxa"/>
            <w:tcBorders>
              <w:top w:val="nil"/>
              <w:left w:val="nil"/>
              <w:bottom w:val="nil"/>
              <w:right w:val="nil"/>
            </w:tcBorders>
          </w:tcPr>
          <w:p w14:paraId="28C40C55"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(0.099)</w:t>
            </w:r>
          </w:p>
        </w:tc>
        <w:tc>
          <w:tcPr>
            <w:tcW w:w="2091" w:type="dxa"/>
            <w:tcBorders>
              <w:top w:val="nil"/>
              <w:left w:val="nil"/>
              <w:bottom w:val="nil"/>
              <w:right w:val="nil"/>
            </w:tcBorders>
          </w:tcPr>
          <w:p w14:paraId="0419DCD8"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(0.031)</w:t>
            </w:r>
          </w:p>
        </w:tc>
        <w:tc>
          <w:tcPr>
            <w:tcW w:w="1803" w:type="dxa"/>
            <w:tcBorders>
              <w:top w:val="nil"/>
              <w:left w:val="nil"/>
              <w:bottom w:val="nil"/>
              <w:right w:val="nil"/>
            </w:tcBorders>
          </w:tcPr>
          <w:p w14:paraId="6F39F447"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(0.016)</w:t>
            </w:r>
          </w:p>
        </w:tc>
      </w:tr>
      <w:tr w:rsidR="003A1F04" w:rsidRPr="005576E1" w14:paraId="0F8FD017" w14:textId="77777777" w:rsidTr="0025040E">
        <w:trPr>
          <w:jc w:val="center"/>
        </w:trPr>
        <w:tc>
          <w:tcPr>
            <w:tcW w:w="4917" w:type="dxa"/>
            <w:tcBorders>
              <w:top w:val="nil"/>
              <w:left w:val="nil"/>
              <w:bottom w:val="nil"/>
              <w:right w:val="nil"/>
            </w:tcBorders>
          </w:tcPr>
          <w:p w14:paraId="1AEB3E10"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Total</w:t>
            </w:r>
          </w:p>
        </w:tc>
        <w:tc>
          <w:tcPr>
            <w:tcW w:w="2346" w:type="dxa"/>
            <w:tcBorders>
              <w:top w:val="nil"/>
              <w:left w:val="dashed" w:sz="6" w:space="0" w:color="auto"/>
              <w:bottom w:val="nil"/>
              <w:right w:val="nil"/>
            </w:tcBorders>
          </w:tcPr>
          <w:p w14:paraId="4DB8B70A"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-0.079</w:t>
            </w:r>
          </w:p>
        </w:tc>
        <w:tc>
          <w:tcPr>
            <w:tcW w:w="1803" w:type="dxa"/>
            <w:tcBorders>
              <w:top w:val="nil"/>
              <w:left w:val="nil"/>
              <w:bottom w:val="nil"/>
              <w:right w:val="nil"/>
            </w:tcBorders>
          </w:tcPr>
          <w:p w14:paraId="4252E28F"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-0.060</w:t>
            </w:r>
          </w:p>
        </w:tc>
        <w:tc>
          <w:tcPr>
            <w:tcW w:w="2091" w:type="dxa"/>
            <w:tcBorders>
              <w:top w:val="nil"/>
              <w:left w:val="nil"/>
              <w:bottom w:val="nil"/>
              <w:right w:val="nil"/>
            </w:tcBorders>
          </w:tcPr>
          <w:p w14:paraId="00CA5F52"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-0.146**</w:t>
            </w:r>
          </w:p>
        </w:tc>
        <w:tc>
          <w:tcPr>
            <w:tcW w:w="1803" w:type="dxa"/>
            <w:tcBorders>
              <w:top w:val="nil"/>
              <w:left w:val="nil"/>
              <w:bottom w:val="nil"/>
              <w:right w:val="nil"/>
            </w:tcBorders>
          </w:tcPr>
          <w:p w14:paraId="6EB77852"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-0.072**</w:t>
            </w:r>
          </w:p>
        </w:tc>
      </w:tr>
      <w:tr w:rsidR="003A1F04" w:rsidRPr="005576E1" w14:paraId="0E9F1479" w14:textId="77777777" w:rsidTr="0025040E">
        <w:trPr>
          <w:jc w:val="center"/>
        </w:trPr>
        <w:tc>
          <w:tcPr>
            <w:tcW w:w="4917" w:type="dxa"/>
            <w:tcBorders>
              <w:top w:val="nil"/>
              <w:left w:val="nil"/>
              <w:bottom w:val="nil"/>
              <w:right w:val="nil"/>
            </w:tcBorders>
          </w:tcPr>
          <w:p w14:paraId="1B2EA965"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68255384"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(0.064)</w:t>
            </w:r>
          </w:p>
        </w:tc>
        <w:tc>
          <w:tcPr>
            <w:tcW w:w="1803" w:type="dxa"/>
            <w:tcBorders>
              <w:top w:val="nil"/>
              <w:left w:val="nil"/>
              <w:bottom w:val="nil"/>
              <w:right w:val="nil"/>
            </w:tcBorders>
          </w:tcPr>
          <w:p w14:paraId="7B01E842"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(0.057)</w:t>
            </w:r>
          </w:p>
        </w:tc>
        <w:tc>
          <w:tcPr>
            <w:tcW w:w="2091" w:type="dxa"/>
            <w:tcBorders>
              <w:top w:val="nil"/>
              <w:left w:val="nil"/>
              <w:bottom w:val="nil"/>
              <w:right w:val="nil"/>
            </w:tcBorders>
          </w:tcPr>
          <w:p w14:paraId="13382F1B"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(0.014)</w:t>
            </w:r>
          </w:p>
        </w:tc>
        <w:tc>
          <w:tcPr>
            <w:tcW w:w="1803" w:type="dxa"/>
            <w:tcBorders>
              <w:top w:val="nil"/>
              <w:left w:val="nil"/>
              <w:bottom w:val="nil"/>
              <w:right w:val="nil"/>
            </w:tcBorders>
          </w:tcPr>
          <w:p w14:paraId="6D73CD7D"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(0.007)</w:t>
            </w:r>
          </w:p>
        </w:tc>
      </w:tr>
      <w:tr w:rsidR="003A1F04" w:rsidRPr="005576E1" w14:paraId="34B63F21" w14:textId="77777777" w:rsidTr="0025040E">
        <w:trPr>
          <w:jc w:val="center"/>
        </w:trPr>
        <w:tc>
          <w:tcPr>
            <w:tcW w:w="4917" w:type="dxa"/>
            <w:tcBorders>
              <w:top w:val="nil"/>
              <w:left w:val="nil"/>
              <w:bottom w:val="nil"/>
              <w:right w:val="nil"/>
            </w:tcBorders>
          </w:tcPr>
          <w:p w14:paraId="07E11457"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Manufacturing</w:t>
            </w:r>
          </w:p>
        </w:tc>
        <w:tc>
          <w:tcPr>
            <w:tcW w:w="2346" w:type="dxa"/>
            <w:tcBorders>
              <w:top w:val="nil"/>
              <w:left w:val="dashed" w:sz="6" w:space="0" w:color="auto"/>
              <w:bottom w:val="nil"/>
              <w:right w:val="nil"/>
            </w:tcBorders>
          </w:tcPr>
          <w:p w14:paraId="60D611CA"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0.080</w:t>
            </w:r>
          </w:p>
        </w:tc>
        <w:tc>
          <w:tcPr>
            <w:tcW w:w="1803" w:type="dxa"/>
            <w:tcBorders>
              <w:top w:val="nil"/>
              <w:left w:val="nil"/>
              <w:bottom w:val="nil"/>
              <w:right w:val="nil"/>
            </w:tcBorders>
          </w:tcPr>
          <w:p w14:paraId="0F755777"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0.068</w:t>
            </w:r>
          </w:p>
        </w:tc>
        <w:tc>
          <w:tcPr>
            <w:tcW w:w="2091" w:type="dxa"/>
            <w:tcBorders>
              <w:top w:val="nil"/>
              <w:left w:val="nil"/>
              <w:bottom w:val="nil"/>
              <w:right w:val="nil"/>
            </w:tcBorders>
          </w:tcPr>
          <w:p w14:paraId="23A924FB"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-0.082**</w:t>
            </w:r>
          </w:p>
        </w:tc>
        <w:tc>
          <w:tcPr>
            <w:tcW w:w="1803" w:type="dxa"/>
            <w:tcBorders>
              <w:top w:val="nil"/>
              <w:left w:val="nil"/>
              <w:bottom w:val="nil"/>
              <w:right w:val="nil"/>
            </w:tcBorders>
          </w:tcPr>
          <w:p w14:paraId="2AFC863B"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-0.034**</w:t>
            </w:r>
          </w:p>
        </w:tc>
      </w:tr>
      <w:tr w:rsidR="003A1F04" w:rsidRPr="005576E1" w14:paraId="04A333D3" w14:textId="77777777" w:rsidTr="0025040E">
        <w:trPr>
          <w:jc w:val="center"/>
        </w:trPr>
        <w:tc>
          <w:tcPr>
            <w:tcW w:w="4917" w:type="dxa"/>
            <w:tcBorders>
              <w:top w:val="nil"/>
              <w:left w:val="nil"/>
              <w:bottom w:val="nil"/>
              <w:right w:val="nil"/>
            </w:tcBorders>
          </w:tcPr>
          <w:p w14:paraId="4EA0A995"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049695BF"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(0.077)</w:t>
            </w:r>
          </w:p>
        </w:tc>
        <w:tc>
          <w:tcPr>
            <w:tcW w:w="1803" w:type="dxa"/>
            <w:tcBorders>
              <w:top w:val="nil"/>
              <w:left w:val="nil"/>
              <w:bottom w:val="nil"/>
              <w:right w:val="nil"/>
            </w:tcBorders>
          </w:tcPr>
          <w:p w14:paraId="1FFB60FC"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(0.072)</w:t>
            </w:r>
          </w:p>
        </w:tc>
        <w:tc>
          <w:tcPr>
            <w:tcW w:w="2091" w:type="dxa"/>
            <w:tcBorders>
              <w:top w:val="nil"/>
              <w:left w:val="nil"/>
              <w:bottom w:val="nil"/>
              <w:right w:val="nil"/>
            </w:tcBorders>
          </w:tcPr>
          <w:p w14:paraId="09C4578D"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(0.024)</w:t>
            </w:r>
          </w:p>
        </w:tc>
        <w:tc>
          <w:tcPr>
            <w:tcW w:w="1803" w:type="dxa"/>
            <w:tcBorders>
              <w:top w:val="nil"/>
              <w:left w:val="nil"/>
              <w:bottom w:val="nil"/>
              <w:right w:val="nil"/>
            </w:tcBorders>
          </w:tcPr>
          <w:p w14:paraId="4C5F71F2"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3A1F04" w:rsidRPr="005576E1" w14:paraId="6192D7C8" w14:textId="77777777" w:rsidTr="0025040E">
        <w:trPr>
          <w:jc w:val="center"/>
        </w:trPr>
        <w:tc>
          <w:tcPr>
            <w:tcW w:w="4917" w:type="dxa"/>
            <w:tcBorders>
              <w:top w:val="nil"/>
              <w:left w:val="nil"/>
              <w:bottom w:val="nil"/>
              <w:right w:val="nil"/>
            </w:tcBorders>
          </w:tcPr>
          <w:p w14:paraId="0407D024"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Retail</w:t>
            </w:r>
          </w:p>
        </w:tc>
        <w:tc>
          <w:tcPr>
            <w:tcW w:w="2346" w:type="dxa"/>
            <w:tcBorders>
              <w:top w:val="nil"/>
              <w:left w:val="dashed" w:sz="6" w:space="0" w:color="auto"/>
              <w:bottom w:val="nil"/>
              <w:right w:val="nil"/>
            </w:tcBorders>
          </w:tcPr>
          <w:p w14:paraId="3AC8A82E"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-0.021</w:t>
            </w:r>
          </w:p>
        </w:tc>
        <w:tc>
          <w:tcPr>
            <w:tcW w:w="1803" w:type="dxa"/>
            <w:tcBorders>
              <w:top w:val="nil"/>
              <w:left w:val="nil"/>
              <w:bottom w:val="nil"/>
              <w:right w:val="nil"/>
            </w:tcBorders>
          </w:tcPr>
          <w:p w14:paraId="3EE8C1E8"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-0.014</w:t>
            </w:r>
          </w:p>
        </w:tc>
        <w:tc>
          <w:tcPr>
            <w:tcW w:w="2091" w:type="dxa"/>
            <w:tcBorders>
              <w:top w:val="nil"/>
              <w:left w:val="nil"/>
              <w:bottom w:val="nil"/>
              <w:right w:val="nil"/>
            </w:tcBorders>
          </w:tcPr>
          <w:p w14:paraId="0263A8EB"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-0.004</w:t>
            </w:r>
          </w:p>
        </w:tc>
        <w:tc>
          <w:tcPr>
            <w:tcW w:w="1803" w:type="dxa"/>
            <w:tcBorders>
              <w:top w:val="nil"/>
              <w:left w:val="nil"/>
              <w:bottom w:val="nil"/>
              <w:right w:val="nil"/>
            </w:tcBorders>
          </w:tcPr>
          <w:p w14:paraId="4453E55C"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0.019</w:t>
            </w:r>
          </w:p>
        </w:tc>
      </w:tr>
      <w:tr w:rsidR="003A1F04" w:rsidRPr="005576E1" w14:paraId="15E0B654" w14:textId="77777777" w:rsidTr="0025040E">
        <w:trPr>
          <w:jc w:val="center"/>
        </w:trPr>
        <w:tc>
          <w:tcPr>
            <w:tcW w:w="4917" w:type="dxa"/>
            <w:tcBorders>
              <w:top w:val="nil"/>
              <w:left w:val="nil"/>
              <w:bottom w:val="nil"/>
              <w:right w:val="nil"/>
            </w:tcBorders>
          </w:tcPr>
          <w:p w14:paraId="596D10EF"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82F95A3"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(0.062)</w:t>
            </w:r>
          </w:p>
        </w:tc>
        <w:tc>
          <w:tcPr>
            <w:tcW w:w="1803" w:type="dxa"/>
            <w:tcBorders>
              <w:top w:val="nil"/>
              <w:left w:val="nil"/>
              <w:bottom w:val="nil"/>
              <w:right w:val="nil"/>
            </w:tcBorders>
          </w:tcPr>
          <w:p w14:paraId="648C6EDF"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(0.052)</w:t>
            </w:r>
          </w:p>
        </w:tc>
        <w:tc>
          <w:tcPr>
            <w:tcW w:w="2091" w:type="dxa"/>
            <w:tcBorders>
              <w:top w:val="nil"/>
              <w:left w:val="nil"/>
              <w:bottom w:val="nil"/>
              <w:right w:val="nil"/>
            </w:tcBorders>
          </w:tcPr>
          <w:p w14:paraId="7A8646FC"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c>
          <w:tcPr>
            <w:tcW w:w="1803" w:type="dxa"/>
            <w:tcBorders>
              <w:top w:val="nil"/>
              <w:left w:val="nil"/>
              <w:bottom w:val="nil"/>
              <w:right w:val="nil"/>
            </w:tcBorders>
          </w:tcPr>
          <w:p w14:paraId="0C5E39EB"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(0.011)</w:t>
            </w:r>
          </w:p>
        </w:tc>
      </w:tr>
      <w:tr w:rsidR="003A1F04" w:rsidRPr="005576E1" w14:paraId="04B122C7" w14:textId="77777777" w:rsidTr="0025040E">
        <w:trPr>
          <w:jc w:val="center"/>
        </w:trPr>
        <w:tc>
          <w:tcPr>
            <w:tcW w:w="4917" w:type="dxa"/>
            <w:tcBorders>
              <w:top w:val="nil"/>
              <w:left w:val="nil"/>
              <w:bottom w:val="nil"/>
              <w:right w:val="nil"/>
            </w:tcBorders>
          </w:tcPr>
          <w:p w14:paraId="68BF72B4"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Services</w:t>
            </w:r>
          </w:p>
        </w:tc>
        <w:tc>
          <w:tcPr>
            <w:tcW w:w="2346" w:type="dxa"/>
            <w:tcBorders>
              <w:top w:val="nil"/>
              <w:left w:val="dashed" w:sz="6" w:space="0" w:color="auto"/>
              <w:bottom w:val="nil"/>
              <w:right w:val="nil"/>
            </w:tcBorders>
          </w:tcPr>
          <w:p w14:paraId="13A05A74"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-0.077</w:t>
            </w:r>
          </w:p>
        </w:tc>
        <w:tc>
          <w:tcPr>
            <w:tcW w:w="1803" w:type="dxa"/>
            <w:tcBorders>
              <w:top w:val="nil"/>
              <w:left w:val="nil"/>
              <w:bottom w:val="nil"/>
              <w:right w:val="nil"/>
            </w:tcBorders>
          </w:tcPr>
          <w:p w14:paraId="09BADFAC"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-0.080</w:t>
            </w:r>
          </w:p>
        </w:tc>
        <w:tc>
          <w:tcPr>
            <w:tcW w:w="2091" w:type="dxa"/>
            <w:tcBorders>
              <w:top w:val="nil"/>
              <w:left w:val="nil"/>
              <w:bottom w:val="nil"/>
              <w:right w:val="nil"/>
            </w:tcBorders>
          </w:tcPr>
          <w:p w14:paraId="6123808E"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-0.095**</w:t>
            </w:r>
          </w:p>
        </w:tc>
        <w:tc>
          <w:tcPr>
            <w:tcW w:w="1803" w:type="dxa"/>
            <w:tcBorders>
              <w:top w:val="nil"/>
              <w:left w:val="nil"/>
              <w:bottom w:val="nil"/>
              <w:right w:val="nil"/>
            </w:tcBorders>
          </w:tcPr>
          <w:p w14:paraId="2A07B4D5"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-0.052**</w:t>
            </w:r>
          </w:p>
        </w:tc>
      </w:tr>
      <w:tr w:rsidR="003A1F04" w:rsidRPr="005576E1" w14:paraId="43BD016E" w14:textId="77777777" w:rsidTr="0025040E">
        <w:trPr>
          <w:jc w:val="center"/>
        </w:trPr>
        <w:tc>
          <w:tcPr>
            <w:tcW w:w="4917" w:type="dxa"/>
            <w:tcBorders>
              <w:top w:val="nil"/>
              <w:left w:val="nil"/>
              <w:bottom w:val="single" w:sz="6" w:space="0" w:color="auto"/>
              <w:right w:val="nil"/>
            </w:tcBorders>
          </w:tcPr>
          <w:p w14:paraId="1A8FE624" w14:textId="77777777" w:rsidR="003A1F04" w:rsidRPr="005576E1" w:rsidRDefault="003A1F04"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single" w:sz="6" w:space="0" w:color="auto"/>
              <w:right w:val="nil"/>
            </w:tcBorders>
          </w:tcPr>
          <w:p w14:paraId="1D7CAF3F" w14:textId="77777777" w:rsidR="003A1F04" w:rsidRPr="005576E1" w:rsidRDefault="003A1F04"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(0.056)</w:t>
            </w:r>
          </w:p>
        </w:tc>
        <w:tc>
          <w:tcPr>
            <w:tcW w:w="1803" w:type="dxa"/>
            <w:tcBorders>
              <w:top w:val="nil"/>
              <w:left w:val="nil"/>
              <w:bottom w:val="single" w:sz="6" w:space="0" w:color="auto"/>
              <w:right w:val="nil"/>
            </w:tcBorders>
          </w:tcPr>
          <w:p w14:paraId="535BD841" w14:textId="77777777" w:rsidR="003A1F04" w:rsidRPr="005576E1" w:rsidRDefault="003A1F04"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(0.058)</w:t>
            </w:r>
          </w:p>
        </w:tc>
        <w:tc>
          <w:tcPr>
            <w:tcW w:w="2091" w:type="dxa"/>
            <w:tcBorders>
              <w:top w:val="nil"/>
              <w:left w:val="nil"/>
              <w:bottom w:val="single" w:sz="6" w:space="0" w:color="auto"/>
              <w:right w:val="nil"/>
            </w:tcBorders>
          </w:tcPr>
          <w:p w14:paraId="058423B0" w14:textId="77777777" w:rsidR="003A1F04" w:rsidRPr="005576E1" w:rsidRDefault="003A1F04"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(0.017)</w:t>
            </w:r>
          </w:p>
        </w:tc>
        <w:tc>
          <w:tcPr>
            <w:tcW w:w="1803" w:type="dxa"/>
            <w:tcBorders>
              <w:top w:val="nil"/>
              <w:left w:val="nil"/>
              <w:bottom w:val="single" w:sz="6" w:space="0" w:color="auto"/>
              <w:right w:val="nil"/>
            </w:tcBorders>
          </w:tcPr>
          <w:p w14:paraId="3959C3E5" w14:textId="77777777" w:rsidR="003A1F04" w:rsidRPr="005576E1" w:rsidRDefault="003A1F04"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(0.008)</w:t>
            </w:r>
          </w:p>
        </w:tc>
      </w:tr>
    </w:tbl>
    <w:p w14:paraId="44ECBF9D" w14:textId="4FA33BB9" w:rsidR="00361445" w:rsidRPr="005576E1" w:rsidRDefault="005576E1" w:rsidP="005576E1">
      <w:pPr>
        <w:widowControl w:val="0"/>
        <w:autoSpaceDE w:val="0"/>
        <w:autoSpaceDN w:val="0"/>
        <w:adjustRightInd w:val="0"/>
        <w:spacing w:after="66"/>
        <w:rPr>
          <w:rFonts w:ascii="Times New Roman" w:hAnsi="Times New Roman" w:cs="Times New Roman"/>
          <w:sz w:val="16"/>
          <w:szCs w:val="16"/>
        </w:rPr>
        <w:sectPr w:rsidR="00361445" w:rsidRPr="005576E1" w:rsidSect="000F443A">
          <w:pgSz w:w="15840" w:h="12240" w:orient="landscape"/>
          <w:pgMar w:top="1440" w:right="1440" w:bottom="1440" w:left="1440" w:header="720" w:footer="720" w:gutter="0"/>
          <w:cols w:space="720"/>
          <w:docGrid w:linePitch="360"/>
        </w:sectPr>
      </w:pPr>
      <w:r>
        <w:rPr>
          <w:rFonts w:ascii="Times New Roman" w:hAnsi="Times New Roman" w:cs="Times New Roman"/>
          <w:sz w:val="16"/>
          <w:szCs w:val="16"/>
        </w:rPr>
        <w:t xml:space="preserve">Notes: </w:t>
      </w:r>
      <w:r w:rsidR="0025040E" w:rsidRPr="005576E1">
        <w:rPr>
          <w:rFonts w:ascii="Times New Roman" w:hAnsi="Times New Roman" w:cs="Times New Roman"/>
          <w:sz w:val="16"/>
          <w:szCs w:val="16"/>
        </w:rPr>
        <w:t xml:space="preserve">Main independent variable is a binary indicator of TIF designation. </w:t>
      </w:r>
      <w:r w:rsidR="003A1F04" w:rsidRPr="005576E1">
        <w:rPr>
          <w:rFonts w:ascii="Times New Roman" w:hAnsi="Times New Roman" w:cs="Times New Roman"/>
          <w:sz w:val="16"/>
          <w:szCs w:val="16"/>
        </w:rPr>
        <w:t>Standard errors clustered at TIF district level for Kansas City. All specifications account for raw population changes at the tract level and include bloc</w:t>
      </w:r>
      <w:r w:rsidR="00361445" w:rsidRPr="005576E1">
        <w:rPr>
          <w:rFonts w:ascii="Times New Roman" w:hAnsi="Times New Roman" w:cs="Times New Roman"/>
          <w:sz w:val="16"/>
          <w:szCs w:val="16"/>
        </w:rPr>
        <w:t>k group and year fixed effects</w:t>
      </w:r>
    </w:p>
    <w:p w14:paraId="5F049540" w14:textId="0FDF52B5" w:rsidR="002B7546" w:rsidRPr="005576E1" w:rsidRDefault="00361445" w:rsidP="005576E1">
      <w:pPr>
        <w:widowControl w:val="0"/>
        <w:autoSpaceDE w:val="0"/>
        <w:autoSpaceDN w:val="0"/>
        <w:adjustRightInd w:val="0"/>
        <w:spacing w:before="66" w:after="66"/>
        <w:jc w:val="center"/>
        <w:rPr>
          <w:rFonts w:ascii="Times New Roman" w:hAnsi="Times New Roman" w:cs="Times New Roman"/>
          <w:b/>
          <w:bCs/>
        </w:rPr>
      </w:pPr>
      <w:r w:rsidRPr="005576E1">
        <w:rPr>
          <w:rFonts w:ascii="Times New Roman" w:hAnsi="Times New Roman" w:cs="Times New Roman"/>
          <w:b/>
          <w:bCs/>
          <w:sz w:val="24"/>
          <w:szCs w:val="24"/>
        </w:rPr>
        <w:lastRenderedPageBreak/>
        <w:t xml:space="preserve">Table </w:t>
      </w:r>
      <w:r w:rsidR="00581B12">
        <w:rPr>
          <w:rFonts w:ascii="Times New Roman" w:hAnsi="Times New Roman" w:cs="Times New Roman"/>
          <w:b/>
          <w:bCs/>
          <w:sz w:val="24"/>
          <w:szCs w:val="24"/>
        </w:rPr>
        <w:t>3</w:t>
      </w:r>
      <w:r w:rsidRPr="005576E1">
        <w:rPr>
          <w:rFonts w:ascii="Times New Roman" w:hAnsi="Times New Roman" w:cs="Times New Roman"/>
          <w:b/>
          <w:bCs/>
          <w:sz w:val="24"/>
          <w:szCs w:val="24"/>
        </w:rPr>
        <w:t>:</w:t>
      </w:r>
      <w:r w:rsidR="004702EB" w:rsidRPr="005576E1">
        <w:rPr>
          <w:rFonts w:ascii="Times New Roman" w:hAnsi="Times New Roman" w:cs="Times New Roman"/>
          <w:b/>
          <w:bCs/>
          <w:sz w:val="24"/>
          <w:szCs w:val="24"/>
        </w:rPr>
        <w:t xml:space="preserve"> </w:t>
      </w:r>
      <w:r w:rsidR="002B7546" w:rsidRPr="005576E1">
        <w:rPr>
          <w:rFonts w:ascii="Times New Roman" w:hAnsi="Times New Roman" w:cs="Times New Roman"/>
          <w:b/>
          <w:bCs/>
        </w:rPr>
        <w:t>The Impact of TIF Designation on the Natural Log of Employment, Sales, and Establishments, 1990-2012.</w:t>
      </w:r>
    </w:p>
    <w:p w14:paraId="44AA0422" w14:textId="77777777" w:rsidR="00361445" w:rsidRPr="005576E1" w:rsidRDefault="004702EB" w:rsidP="005576E1">
      <w:pPr>
        <w:widowControl w:val="0"/>
        <w:autoSpaceDE w:val="0"/>
        <w:autoSpaceDN w:val="0"/>
        <w:adjustRightInd w:val="0"/>
        <w:spacing w:before="66" w:after="66"/>
        <w:jc w:val="center"/>
        <w:rPr>
          <w:rFonts w:ascii="Times New Roman" w:hAnsi="Times New Roman" w:cs="Times New Roman"/>
          <w:b/>
          <w:bCs/>
          <w:sz w:val="24"/>
          <w:szCs w:val="24"/>
        </w:rPr>
      </w:pPr>
      <w:r w:rsidRPr="005576E1">
        <w:rPr>
          <w:rFonts w:ascii="Times New Roman" w:hAnsi="Times New Roman" w:cs="Times New Roman"/>
          <w:b/>
          <w:bCs/>
          <w:sz w:val="24"/>
          <w:szCs w:val="24"/>
        </w:rPr>
        <w:t>Alternative</w:t>
      </w:r>
      <w:r w:rsidR="00361445" w:rsidRPr="005576E1">
        <w:rPr>
          <w:rFonts w:ascii="Times New Roman" w:hAnsi="Times New Roman" w:cs="Times New Roman"/>
          <w:b/>
          <w:bCs/>
          <w:sz w:val="24"/>
          <w:szCs w:val="24"/>
        </w:rPr>
        <w:t xml:space="preserve"> Specification with Time Trends</w:t>
      </w:r>
    </w:p>
    <w:tbl>
      <w:tblPr>
        <w:tblW w:w="0" w:type="auto"/>
        <w:jc w:val="center"/>
        <w:tblCellMar>
          <w:left w:w="144" w:type="dxa"/>
          <w:right w:w="144" w:type="dxa"/>
        </w:tblCellMar>
        <w:tblLook w:val="0000" w:firstRow="0" w:lastRow="0" w:firstColumn="0" w:lastColumn="0" w:noHBand="0" w:noVBand="0"/>
      </w:tblPr>
      <w:tblGrid>
        <w:gridCol w:w="4917"/>
        <w:gridCol w:w="2346"/>
        <w:gridCol w:w="1803"/>
        <w:gridCol w:w="2091"/>
        <w:gridCol w:w="1803"/>
      </w:tblGrid>
      <w:tr w:rsidR="00361445" w:rsidRPr="005576E1" w14:paraId="2F9468AE" w14:textId="77777777" w:rsidTr="0025040E">
        <w:trPr>
          <w:jc w:val="center"/>
        </w:trPr>
        <w:tc>
          <w:tcPr>
            <w:tcW w:w="4917" w:type="dxa"/>
            <w:tcBorders>
              <w:top w:val="single" w:sz="6" w:space="0" w:color="auto"/>
              <w:left w:val="nil"/>
              <w:bottom w:val="nil"/>
              <w:right w:val="nil"/>
            </w:tcBorders>
          </w:tcPr>
          <w:p w14:paraId="496D7447" w14:textId="77777777" w:rsidR="00361445" w:rsidRPr="005576E1" w:rsidRDefault="00361445" w:rsidP="005576E1">
            <w:pPr>
              <w:widowControl w:val="0"/>
              <w:autoSpaceDE w:val="0"/>
              <w:autoSpaceDN w:val="0"/>
              <w:adjustRightInd w:val="0"/>
              <w:spacing w:before="66"/>
              <w:rPr>
                <w:rFonts w:ascii="Times New Roman" w:hAnsi="Times New Roman" w:cs="Times New Roman"/>
                <w:sz w:val="20"/>
                <w:szCs w:val="20"/>
              </w:rPr>
            </w:pPr>
          </w:p>
        </w:tc>
        <w:tc>
          <w:tcPr>
            <w:tcW w:w="4149" w:type="dxa"/>
            <w:gridSpan w:val="2"/>
            <w:tcBorders>
              <w:top w:val="single" w:sz="6" w:space="0" w:color="auto"/>
              <w:left w:val="dashed" w:sz="6" w:space="0" w:color="auto"/>
              <w:bottom w:val="nil"/>
              <w:right w:val="nil"/>
            </w:tcBorders>
          </w:tcPr>
          <w:p w14:paraId="07129F2A" w14:textId="77777777" w:rsidR="00361445" w:rsidRPr="005576E1" w:rsidRDefault="00361445"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Kansas City</w:t>
            </w:r>
          </w:p>
        </w:tc>
        <w:tc>
          <w:tcPr>
            <w:tcW w:w="3894" w:type="dxa"/>
            <w:gridSpan w:val="2"/>
            <w:tcBorders>
              <w:top w:val="single" w:sz="6" w:space="0" w:color="auto"/>
              <w:left w:val="nil"/>
              <w:bottom w:val="nil"/>
              <w:right w:val="nil"/>
            </w:tcBorders>
          </w:tcPr>
          <w:p w14:paraId="7070B9CA" w14:textId="375C37B1" w:rsidR="00361445" w:rsidRPr="005576E1" w:rsidRDefault="005576E1"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Saint Louis</w:t>
            </w:r>
          </w:p>
        </w:tc>
      </w:tr>
      <w:tr w:rsidR="00361445" w:rsidRPr="005576E1" w14:paraId="4B141C62" w14:textId="77777777" w:rsidTr="0025040E">
        <w:trPr>
          <w:jc w:val="center"/>
        </w:trPr>
        <w:tc>
          <w:tcPr>
            <w:tcW w:w="4917" w:type="dxa"/>
            <w:tcBorders>
              <w:top w:val="nil"/>
              <w:left w:val="nil"/>
              <w:bottom w:val="nil"/>
              <w:right w:val="nil"/>
            </w:tcBorders>
          </w:tcPr>
          <w:p w14:paraId="6B809D12" w14:textId="77777777" w:rsidR="00361445" w:rsidRPr="005576E1" w:rsidRDefault="00361445" w:rsidP="005576E1">
            <w:pPr>
              <w:widowControl w:val="0"/>
              <w:autoSpaceDE w:val="0"/>
              <w:autoSpaceDN w:val="0"/>
              <w:adjustRightInd w:val="0"/>
              <w:spacing w:after="66"/>
              <w:rPr>
                <w:rFonts w:ascii="Times New Roman" w:hAnsi="Times New Roman" w:cs="Times New Roman"/>
                <w:sz w:val="20"/>
                <w:szCs w:val="20"/>
              </w:rPr>
            </w:pPr>
          </w:p>
        </w:tc>
        <w:tc>
          <w:tcPr>
            <w:tcW w:w="2346" w:type="dxa"/>
            <w:tcBorders>
              <w:top w:val="nil"/>
              <w:left w:val="dashed" w:sz="6" w:space="0" w:color="auto"/>
              <w:bottom w:val="nil"/>
              <w:right w:val="nil"/>
            </w:tcBorders>
          </w:tcPr>
          <w:p w14:paraId="4016AEC7" w14:textId="77777777" w:rsidR="00361445" w:rsidRPr="005576E1" w:rsidRDefault="00361445"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803" w:type="dxa"/>
            <w:tcBorders>
              <w:top w:val="nil"/>
              <w:left w:val="nil"/>
              <w:bottom w:val="nil"/>
              <w:right w:val="nil"/>
            </w:tcBorders>
          </w:tcPr>
          <w:p w14:paraId="413BF038" w14:textId="77777777" w:rsidR="00361445" w:rsidRPr="005576E1" w:rsidRDefault="00361445"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c>
          <w:tcPr>
            <w:tcW w:w="2091" w:type="dxa"/>
            <w:tcBorders>
              <w:top w:val="nil"/>
              <w:left w:val="nil"/>
              <w:bottom w:val="nil"/>
              <w:right w:val="nil"/>
            </w:tcBorders>
          </w:tcPr>
          <w:p w14:paraId="337B6BB6" w14:textId="77777777" w:rsidR="00361445" w:rsidRPr="005576E1" w:rsidRDefault="00361445"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803" w:type="dxa"/>
            <w:tcBorders>
              <w:top w:val="nil"/>
              <w:left w:val="nil"/>
              <w:bottom w:val="nil"/>
              <w:right w:val="nil"/>
            </w:tcBorders>
          </w:tcPr>
          <w:p w14:paraId="20DFF704" w14:textId="77777777" w:rsidR="00361445" w:rsidRPr="005576E1" w:rsidRDefault="00361445"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r>
      <w:tr w:rsidR="00361445" w:rsidRPr="005576E1" w14:paraId="4F0018A7" w14:textId="77777777" w:rsidTr="0025040E">
        <w:trPr>
          <w:jc w:val="center"/>
        </w:trPr>
        <w:tc>
          <w:tcPr>
            <w:tcW w:w="4917" w:type="dxa"/>
            <w:tcBorders>
              <w:top w:val="single" w:sz="6" w:space="0" w:color="auto"/>
              <w:left w:val="nil"/>
              <w:bottom w:val="nil"/>
              <w:right w:val="nil"/>
            </w:tcBorders>
          </w:tcPr>
          <w:p w14:paraId="5D91C3D3"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Total</w:t>
            </w:r>
          </w:p>
        </w:tc>
        <w:tc>
          <w:tcPr>
            <w:tcW w:w="2346" w:type="dxa"/>
            <w:tcBorders>
              <w:top w:val="single" w:sz="6" w:space="0" w:color="auto"/>
              <w:left w:val="dashed" w:sz="6" w:space="0" w:color="auto"/>
              <w:bottom w:val="nil"/>
              <w:right w:val="nil"/>
            </w:tcBorders>
          </w:tcPr>
          <w:p w14:paraId="3C1268E5"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1803" w:type="dxa"/>
            <w:tcBorders>
              <w:top w:val="single" w:sz="6" w:space="0" w:color="auto"/>
              <w:left w:val="nil"/>
              <w:bottom w:val="nil"/>
              <w:right w:val="nil"/>
            </w:tcBorders>
          </w:tcPr>
          <w:p w14:paraId="294EDA9B"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c>
          <w:tcPr>
            <w:tcW w:w="2091" w:type="dxa"/>
            <w:tcBorders>
              <w:top w:val="single" w:sz="6" w:space="0" w:color="auto"/>
              <w:left w:val="nil"/>
              <w:bottom w:val="nil"/>
              <w:right w:val="nil"/>
            </w:tcBorders>
          </w:tcPr>
          <w:p w14:paraId="512535BD"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0.007</w:t>
            </w:r>
          </w:p>
        </w:tc>
        <w:tc>
          <w:tcPr>
            <w:tcW w:w="1803" w:type="dxa"/>
            <w:tcBorders>
              <w:top w:val="single" w:sz="6" w:space="0" w:color="auto"/>
              <w:left w:val="nil"/>
              <w:bottom w:val="nil"/>
              <w:right w:val="nil"/>
            </w:tcBorders>
          </w:tcPr>
          <w:p w14:paraId="1B8B6DCD"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-0.005</w:t>
            </w:r>
          </w:p>
        </w:tc>
      </w:tr>
      <w:tr w:rsidR="00361445" w:rsidRPr="005576E1" w14:paraId="0F695C9A" w14:textId="77777777" w:rsidTr="0025040E">
        <w:trPr>
          <w:jc w:val="center"/>
        </w:trPr>
        <w:tc>
          <w:tcPr>
            <w:tcW w:w="4917" w:type="dxa"/>
            <w:tcBorders>
              <w:top w:val="nil"/>
              <w:left w:val="nil"/>
              <w:bottom w:val="nil"/>
              <w:right w:val="nil"/>
            </w:tcBorders>
          </w:tcPr>
          <w:p w14:paraId="51BEADF0"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1B239FEA"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(0.020)</w:t>
            </w:r>
          </w:p>
        </w:tc>
        <w:tc>
          <w:tcPr>
            <w:tcW w:w="1803" w:type="dxa"/>
            <w:tcBorders>
              <w:top w:val="nil"/>
              <w:left w:val="nil"/>
              <w:bottom w:val="nil"/>
              <w:right w:val="nil"/>
            </w:tcBorders>
          </w:tcPr>
          <w:p w14:paraId="40BA91AD"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c>
          <w:tcPr>
            <w:tcW w:w="2091" w:type="dxa"/>
            <w:tcBorders>
              <w:top w:val="nil"/>
              <w:left w:val="nil"/>
              <w:bottom w:val="nil"/>
              <w:right w:val="nil"/>
            </w:tcBorders>
          </w:tcPr>
          <w:p w14:paraId="50736021"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(0.025)</w:t>
            </w:r>
          </w:p>
        </w:tc>
        <w:tc>
          <w:tcPr>
            <w:tcW w:w="1803" w:type="dxa"/>
            <w:tcBorders>
              <w:top w:val="nil"/>
              <w:left w:val="nil"/>
              <w:bottom w:val="nil"/>
              <w:right w:val="nil"/>
            </w:tcBorders>
          </w:tcPr>
          <w:p w14:paraId="753BBA5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(0.011)</w:t>
            </w:r>
          </w:p>
        </w:tc>
      </w:tr>
      <w:tr w:rsidR="00361445" w:rsidRPr="005576E1" w14:paraId="21BCBCE1" w14:textId="77777777" w:rsidTr="0025040E">
        <w:trPr>
          <w:jc w:val="center"/>
        </w:trPr>
        <w:tc>
          <w:tcPr>
            <w:tcW w:w="4917" w:type="dxa"/>
            <w:tcBorders>
              <w:top w:val="nil"/>
              <w:left w:val="nil"/>
              <w:bottom w:val="nil"/>
              <w:right w:val="nil"/>
            </w:tcBorders>
          </w:tcPr>
          <w:p w14:paraId="5812391D"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Manufacturing</w:t>
            </w:r>
          </w:p>
        </w:tc>
        <w:tc>
          <w:tcPr>
            <w:tcW w:w="2346" w:type="dxa"/>
            <w:tcBorders>
              <w:top w:val="nil"/>
              <w:left w:val="dashed" w:sz="6" w:space="0" w:color="auto"/>
              <w:bottom w:val="nil"/>
              <w:right w:val="nil"/>
            </w:tcBorders>
          </w:tcPr>
          <w:p w14:paraId="4E25FE14"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0.002</w:t>
            </w:r>
          </w:p>
        </w:tc>
        <w:tc>
          <w:tcPr>
            <w:tcW w:w="1803" w:type="dxa"/>
            <w:tcBorders>
              <w:top w:val="nil"/>
              <w:left w:val="nil"/>
              <w:bottom w:val="nil"/>
              <w:right w:val="nil"/>
            </w:tcBorders>
          </w:tcPr>
          <w:p w14:paraId="2291185D"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0.004</w:t>
            </w:r>
          </w:p>
        </w:tc>
        <w:tc>
          <w:tcPr>
            <w:tcW w:w="2091" w:type="dxa"/>
            <w:tcBorders>
              <w:top w:val="nil"/>
              <w:left w:val="nil"/>
              <w:bottom w:val="nil"/>
              <w:right w:val="nil"/>
            </w:tcBorders>
          </w:tcPr>
          <w:p w14:paraId="33606C1F"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-0.189**</w:t>
            </w:r>
          </w:p>
        </w:tc>
        <w:tc>
          <w:tcPr>
            <w:tcW w:w="1803" w:type="dxa"/>
            <w:tcBorders>
              <w:top w:val="nil"/>
              <w:left w:val="nil"/>
              <w:bottom w:val="nil"/>
              <w:right w:val="nil"/>
            </w:tcBorders>
          </w:tcPr>
          <w:p w14:paraId="1520ADEB"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-0.187**</w:t>
            </w:r>
          </w:p>
        </w:tc>
      </w:tr>
      <w:tr w:rsidR="00361445" w:rsidRPr="005576E1" w14:paraId="39DC141D" w14:textId="77777777" w:rsidTr="0025040E">
        <w:trPr>
          <w:jc w:val="center"/>
        </w:trPr>
        <w:tc>
          <w:tcPr>
            <w:tcW w:w="4917" w:type="dxa"/>
            <w:tcBorders>
              <w:top w:val="nil"/>
              <w:left w:val="nil"/>
              <w:bottom w:val="nil"/>
              <w:right w:val="nil"/>
            </w:tcBorders>
          </w:tcPr>
          <w:p w14:paraId="60A6D988"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7BF40F6B"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(0.057)</w:t>
            </w:r>
          </w:p>
        </w:tc>
        <w:tc>
          <w:tcPr>
            <w:tcW w:w="1803" w:type="dxa"/>
            <w:tcBorders>
              <w:top w:val="nil"/>
              <w:left w:val="nil"/>
              <w:bottom w:val="nil"/>
              <w:right w:val="nil"/>
            </w:tcBorders>
          </w:tcPr>
          <w:p w14:paraId="5D0073FB"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(0.040)</w:t>
            </w:r>
          </w:p>
        </w:tc>
        <w:tc>
          <w:tcPr>
            <w:tcW w:w="2091" w:type="dxa"/>
            <w:tcBorders>
              <w:top w:val="nil"/>
              <w:left w:val="nil"/>
              <w:bottom w:val="nil"/>
              <w:right w:val="nil"/>
            </w:tcBorders>
          </w:tcPr>
          <w:p w14:paraId="756E449D"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(0.059)</w:t>
            </w:r>
          </w:p>
        </w:tc>
        <w:tc>
          <w:tcPr>
            <w:tcW w:w="1803" w:type="dxa"/>
            <w:tcBorders>
              <w:top w:val="nil"/>
              <w:left w:val="nil"/>
              <w:bottom w:val="nil"/>
              <w:right w:val="nil"/>
            </w:tcBorders>
          </w:tcPr>
          <w:p w14:paraId="224B3279"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(0.026)</w:t>
            </w:r>
          </w:p>
        </w:tc>
      </w:tr>
      <w:tr w:rsidR="00361445" w:rsidRPr="005576E1" w14:paraId="6CE354B7" w14:textId="77777777" w:rsidTr="0025040E">
        <w:trPr>
          <w:jc w:val="center"/>
        </w:trPr>
        <w:tc>
          <w:tcPr>
            <w:tcW w:w="4917" w:type="dxa"/>
            <w:tcBorders>
              <w:top w:val="nil"/>
              <w:left w:val="nil"/>
              <w:bottom w:val="nil"/>
              <w:right w:val="nil"/>
            </w:tcBorders>
          </w:tcPr>
          <w:p w14:paraId="4AFC734D"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Retail</w:t>
            </w:r>
          </w:p>
        </w:tc>
        <w:tc>
          <w:tcPr>
            <w:tcW w:w="2346" w:type="dxa"/>
            <w:tcBorders>
              <w:top w:val="nil"/>
              <w:left w:val="dashed" w:sz="6" w:space="0" w:color="auto"/>
              <w:bottom w:val="nil"/>
              <w:right w:val="nil"/>
            </w:tcBorders>
          </w:tcPr>
          <w:p w14:paraId="51E037D9"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0.078</w:t>
            </w:r>
          </w:p>
        </w:tc>
        <w:tc>
          <w:tcPr>
            <w:tcW w:w="1803" w:type="dxa"/>
            <w:tcBorders>
              <w:top w:val="nil"/>
              <w:left w:val="nil"/>
              <w:bottom w:val="nil"/>
              <w:right w:val="nil"/>
            </w:tcBorders>
          </w:tcPr>
          <w:p w14:paraId="21CB68B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0.082**</w:t>
            </w:r>
          </w:p>
        </w:tc>
        <w:tc>
          <w:tcPr>
            <w:tcW w:w="2091" w:type="dxa"/>
            <w:tcBorders>
              <w:top w:val="nil"/>
              <w:left w:val="nil"/>
              <w:bottom w:val="nil"/>
              <w:right w:val="nil"/>
            </w:tcBorders>
          </w:tcPr>
          <w:p w14:paraId="137DB32A"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-0.175**</w:t>
            </w:r>
          </w:p>
        </w:tc>
        <w:tc>
          <w:tcPr>
            <w:tcW w:w="1803" w:type="dxa"/>
            <w:tcBorders>
              <w:top w:val="nil"/>
              <w:left w:val="nil"/>
              <w:bottom w:val="nil"/>
              <w:right w:val="nil"/>
            </w:tcBorders>
          </w:tcPr>
          <w:p w14:paraId="584F14F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-0.181**</w:t>
            </w:r>
          </w:p>
        </w:tc>
      </w:tr>
      <w:tr w:rsidR="00361445" w:rsidRPr="005576E1" w14:paraId="572E7CDE" w14:textId="77777777" w:rsidTr="0025040E">
        <w:trPr>
          <w:jc w:val="center"/>
        </w:trPr>
        <w:tc>
          <w:tcPr>
            <w:tcW w:w="4917" w:type="dxa"/>
            <w:tcBorders>
              <w:top w:val="nil"/>
              <w:left w:val="nil"/>
              <w:bottom w:val="nil"/>
              <w:right w:val="nil"/>
            </w:tcBorders>
          </w:tcPr>
          <w:p w14:paraId="6835D149"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73AAD16E"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(0.040)</w:t>
            </w:r>
          </w:p>
        </w:tc>
        <w:tc>
          <w:tcPr>
            <w:tcW w:w="1803" w:type="dxa"/>
            <w:tcBorders>
              <w:top w:val="nil"/>
              <w:left w:val="nil"/>
              <w:bottom w:val="nil"/>
              <w:right w:val="nil"/>
            </w:tcBorders>
          </w:tcPr>
          <w:p w14:paraId="7B316916"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(0.028)</w:t>
            </w:r>
          </w:p>
        </w:tc>
        <w:tc>
          <w:tcPr>
            <w:tcW w:w="2091" w:type="dxa"/>
            <w:tcBorders>
              <w:top w:val="nil"/>
              <w:left w:val="nil"/>
              <w:bottom w:val="nil"/>
              <w:right w:val="nil"/>
            </w:tcBorders>
          </w:tcPr>
          <w:p w14:paraId="31996236"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(0.044)</w:t>
            </w:r>
          </w:p>
        </w:tc>
        <w:tc>
          <w:tcPr>
            <w:tcW w:w="1803" w:type="dxa"/>
            <w:tcBorders>
              <w:top w:val="nil"/>
              <w:left w:val="nil"/>
              <w:bottom w:val="nil"/>
              <w:right w:val="nil"/>
            </w:tcBorders>
          </w:tcPr>
          <w:p w14:paraId="645976C6"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(0.019)</w:t>
            </w:r>
          </w:p>
        </w:tc>
      </w:tr>
      <w:tr w:rsidR="00361445" w:rsidRPr="005576E1" w14:paraId="41EB4A4D" w14:textId="77777777" w:rsidTr="0025040E">
        <w:trPr>
          <w:jc w:val="center"/>
        </w:trPr>
        <w:tc>
          <w:tcPr>
            <w:tcW w:w="4917" w:type="dxa"/>
            <w:tcBorders>
              <w:top w:val="nil"/>
              <w:left w:val="nil"/>
              <w:bottom w:val="nil"/>
              <w:right w:val="nil"/>
            </w:tcBorders>
          </w:tcPr>
          <w:p w14:paraId="2D7942EA"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Services</w:t>
            </w:r>
          </w:p>
        </w:tc>
        <w:tc>
          <w:tcPr>
            <w:tcW w:w="2346" w:type="dxa"/>
            <w:tcBorders>
              <w:top w:val="nil"/>
              <w:left w:val="dashed" w:sz="6" w:space="0" w:color="auto"/>
              <w:bottom w:val="nil"/>
              <w:right w:val="nil"/>
            </w:tcBorders>
          </w:tcPr>
          <w:p w14:paraId="2008E4ED"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-0.085**</w:t>
            </w:r>
          </w:p>
        </w:tc>
        <w:tc>
          <w:tcPr>
            <w:tcW w:w="1803" w:type="dxa"/>
            <w:tcBorders>
              <w:top w:val="nil"/>
              <w:left w:val="nil"/>
              <w:bottom w:val="nil"/>
              <w:right w:val="nil"/>
            </w:tcBorders>
          </w:tcPr>
          <w:p w14:paraId="10430A6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-0.089**</w:t>
            </w:r>
          </w:p>
        </w:tc>
        <w:tc>
          <w:tcPr>
            <w:tcW w:w="2091" w:type="dxa"/>
            <w:tcBorders>
              <w:top w:val="nil"/>
              <w:left w:val="nil"/>
              <w:bottom w:val="nil"/>
              <w:right w:val="nil"/>
            </w:tcBorders>
          </w:tcPr>
          <w:p w14:paraId="76F1DA24"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-0.055</w:t>
            </w:r>
          </w:p>
        </w:tc>
        <w:tc>
          <w:tcPr>
            <w:tcW w:w="1803" w:type="dxa"/>
            <w:tcBorders>
              <w:top w:val="nil"/>
              <w:left w:val="nil"/>
              <w:bottom w:val="nil"/>
              <w:right w:val="nil"/>
            </w:tcBorders>
          </w:tcPr>
          <w:p w14:paraId="374A8C0B"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-0.075**</w:t>
            </w:r>
          </w:p>
        </w:tc>
      </w:tr>
      <w:tr w:rsidR="00361445" w:rsidRPr="005576E1" w14:paraId="16EF8C35" w14:textId="77777777" w:rsidTr="0025040E">
        <w:trPr>
          <w:jc w:val="center"/>
        </w:trPr>
        <w:tc>
          <w:tcPr>
            <w:tcW w:w="4917" w:type="dxa"/>
            <w:tcBorders>
              <w:top w:val="nil"/>
              <w:left w:val="nil"/>
              <w:bottom w:val="nil"/>
              <w:right w:val="nil"/>
            </w:tcBorders>
          </w:tcPr>
          <w:p w14:paraId="7A8E50AC"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0B9DB7B"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(0.029)</w:t>
            </w:r>
          </w:p>
        </w:tc>
        <w:tc>
          <w:tcPr>
            <w:tcW w:w="1803" w:type="dxa"/>
            <w:tcBorders>
              <w:top w:val="nil"/>
              <w:left w:val="nil"/>
              <w:bottom w:val="nil"/>
              <w:right w:val="nil"/>
            </w:tcBorders>
          </w:tcPr>
          <w:p w14:paraId="3525E769"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(0.019)</w:t>
            </w:r>
          </w:p>
        </w:tc>
        <w:tc>
          <w:tcPr>
            <w:tcW w:w="2091" w:type="dxa"/>
            <w:tcBorders>
              <w:top w:val="nil"/>
              <w:left w:val="nil"/>
              <w:bottom w:val="nil"/>
              <w:right w:val="nil"/>
            </w:tcBorders>
          </w:tcPr>
          <w:p w14:paraId="0A2B65F0"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(0.036)</w:t>
            </w:r>
          </w:p>
        </w:tc>
        <w:tc>
          <w:tcPr>
            <w:tcW w:w="1803" w:type="dxa"/>
            <w:tcBorders>
              <w:top w:val="nil"/>
              <w:left w:val="nil"/>
              <w:bottom w:val="nil"/>
              <w:right w:val="nil"/>
            </w:tcBorders>
          </w:tcPr>
          <w:p w14:paraId="3DF263E8"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(0.015)</w:t>
            </w:r>
          </w:p>
        </w:tc>
      </w:tr>
      <w:tr w:rsidR="00361445" w:rsidRPr="005576E1" w14:paraId="0F70164D" w14:textId="77777777" w:rsidTr="0025040E">
        <w:trPr>
          <w:jc w:val="center"/>
        </w:trPr>
        <w:tc>
          <w:tcPr>
            <w:tcW w:w="4917" w:type="dxa"/>
            <w:tcBorders>
              <w:top w:val="nil"/>
              <w:left w:val="nil"/>
              <w:bottom w:val="nil"/>
              <w:right w:val="nil"/>
            </w:tcBorders>
          </w:tcPr>
          <w:p w14:paraId="7EE28752"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Total</w:t>
            </w:r>
          </w:p>
        </w:tc>
        <w:tc>
          <w:tcPr>
            <w:tcW w:w="2346" w:type="dxa"/>
            <w:tcBorders>
              <w:top w:val="nil"/>
              <w:left w:val="dashed" w:sz="6" w:space="0" w:color="auto"/>
              <w:bottom w:val="nil"/>
              <w:right w:val="nil"/>
            </w:tcBorders>
          </w:tcPr>
          <w:p w14:paraId="536E4C39"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0.018</w:t>
            </w:r>
          </w:p>
        </w:tc>
        <w:tc>
          <w:tcPr>
            <w:tcW w:w="1803" w:type="dxa"/>
            <w:tcBorders>
              <w:top w:val="nil"/>
              <w:left w:val="nil"/>
              <w:bottom w:val="nil"/>
              <w:right w:val="nil"/>
            </w:tcBorders>
          </w:tcPr>
          <w:p w14:paraId="496F153A"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0.019</w:t>
            </w:r>
          </w:p>
        </w:tc>
        <w:tc>
          <w:tcPr>
            <w:tcW w:w="2091" w:type="dxa"/>
            <w:tcBorders>
              <w:top w:val="nil"/>
              <w:left w:val="nil"/>
              <w:bottom w:val="nil"/>
              <w:right w:val="nil"/>
            </w:tcBorders>
          </w:tcPr>
          <w:p w14:paraId="458E28D6"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-0.034</w:t>
            </w:r>
          </w:p>
        </w:tc>
        <w:tc>
          <w:tcPr>
            <w:tcW w:w="1803" w:type="dxa"/>
            <w:tcBorders>
              <w:top w:val="nil"/>
              <w:left w:val="nil"/>
              <w:bottom w:val="nil"/>
              <w:right w:val="nil"/>
            </w:tcBorders>
          </w:tcPr>
          <w:p w14:paraId="79C1809E"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-0.060**</w:t>
            </w:r>
          </w:p>
        </w:tc>
      </w:tr>
      <w:tr w:rsidR="00361445" w:rsidRPr="005576E1" w14:paraId="35A12C40" w14:textId="77777777" w:rsidTr="0025040E">
        <w:trPr>
          <w:jc w:val="center"/>
        </w:trPr>
        <w:tc>
          <w:tcPr>
            <w:tcW w:w="4917" w:type="dxa"/>
            <w:tcBorders>
              <w:top w:val="nil"/>
              <w:left w:val="nil"/>
              <w:bottom w:val="nil"/>
              <w:right w:val="nil"/>
            </w:tcBorders>
          </w:tcPr>
          <w:p w14:paraId="5A1446D6"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56EE68CA"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(0.025)</w:t>
            </w:r>
          </w:p>
        </w:tc>
        <w:tc>
          <w:tcPr>
            <w:tcW w:w="1803" w:type="dxa"/>
            <w:tcBorders>
              <w:top w:val="nil"/>
              <w:left w:val="nil"/>
              <w:bottom w:val="nil"/>
              <w:right w:val="nil"/>
            </w:tcBorders>
          </w:tcPr>
          <w:p w14:paraId="1337008D"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(0.016)</w:t>
            </w:r>
          </w:p>
        </w:tc>
        <w:tc>
          <w:tcPr>
            <w:tcW w:w="2091" w:type="dxa"/>
            <w:tcBorders>
              <w:top w:val="nil"/>
              <w:left w:val="nil"/>
              <w:bottom w:val="nil"/>
              <w:right w:val="nil"/>
            </w:tcBorders>
          </w:tcPr>
          <w:p w14:paraId="401CDBAB"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(0.030)</w:t>
            </w:r>
          </w:p>
        </w:tc>
        <w:tc>
          <w:tcPr>
            <w:tcW w:w="1803" w:type="dxa"/>
            <w:tcBorders>
              <w:top w:val="nil"/>
              <w:left w:val="nil"/>
              <w:bottom w:val="nil"/>
              <w:right w:val="nil"/>
            </w:tcBorders>
          </w:tcPr>
          <w:p w14:paraId="2E23FCA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361445" w:rsidRPr="005576E1" w14:paraId="4B0F08A1" w14:textId="77777777" w:rsidTr="0025040E">
        <w:trPr>
          <w:jc w:val="center"/>
        </w:trPr>
        <w:tc>
          <w:tcPr>
            <w:tcW w:w="4917" w:type="dxa"/>
            <w:tcBorders>
              <w:top w:val="nil"/>
              <w:left w:val="nil"/>
              <w:bottom w:val="nil"/>
              <w:right w:val="nil"/>
            </w:tcBorders>
          </w:tcPr>
          <w:p w14:paraId="032B5DF5"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Manufacturing</w:t>
            </w:r>
          </w:p>
        </w:tc>
        <w:tc>
          <w:tcPr>
            <w:tcW w:w="2346" w:type="dxa"/>
            <w:tcBorders>
              <w:top w:val="nil"/>
              <w:left w:val="dashed" w:sz="6" w:space="0" w:color="auto"/>
              <w:bottom w:val="nil"/>
              <w:right w:val="nil"/>
            </w:tcBorders>
          </w:tcPr>
          <w:p w14:paraId="31C03727"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0.035</w:t>
            </w:r>
          </w:p>
        </w:tc>
        <w:tc>
          <w:tcPr>
            <w:tcW w:w="1803" w:type="dxa"/>
            <w:tcBorders>
              <w:top w:val="nil"/>
              <w:left w:val="nil"/>
              <w:bottom w:val="nil"/>
              <w:right w:val="nil"/>
            </w:tcBorders>
          </w:tcPr>
          <w:p w14:paraId="3610A106"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0.037</w:t>
            </w:r>
          </w:p>
        </w:tc>
        <w:tc>
          <w:tcPr>
            <w:tcW w:w="2091" w:type="dxa"/>
            <w:tcBorders>
              <w:top w:val="nil"/>
              <w:left w:val="nil"/>
              <w:bottom w:val="nil"/>
              <w:right w:val="nil"/>
            </w:tcBorders>
          </w:tcPr>
          <w:p w14:paraId="36FE2318"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-0.306**</w:t>
            </w:r>
          </w:p>
        </w:tc>
        <w:tc>
          <w:tcPr>
            <w:tcW w:w="1803" w:type="dxa"/>
            <w:tcBorders>
              <w:top w:val="nil"/>
              <w:left w:val="nil"/>
              <w:bottom w:val="nil"/>
              <w:right w:val="nil"/>
            </w:tcBorders>
          </w:tcPr>
          <w:p w14:paraId="4E95273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-0.300**</w:t>
            </w:r>
          </w:p>
        </w:tc>
      </w:tr>
      <w:tr w:rsidR="00361445" w:rsidRPr="005576E1" w14:paraId="6B99C6AB" w14:textId="77777777" w:rsidTr="0025040E">
        <w:trPr>
          <w:jc w:val="center"/>
        </w:trPr>
        <w:tc>
          <w:tcPr>
            <w:tcW w:w="4917" w:type="dxa"/>
            <w:tcBorders>
              <w:top w:val="nil"/>
              <w:left w:val="nil"/>
              <w:bottom w:val="nil"/>
              <w:right w:val="nil"/>
            </w:tcBorders>
          </w:tcPr>
          <w:p w14:paraId="1ACAEE8B"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762E0D1B"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(0.072)</w:t>
            </w:r>
          </w:p>
        </w:tc>
        <w:tc>
          <w:tcPr>
            <w:tcW w:w="1803" w:type="dxa"/>
            <w:tcBorders>
              <w:top w:val="nil"/>
              <w:left w:val="nil"/>
              <w:bottom w:val="nil"/>
              <w:right w:val="nil"/>
            </w:tcBorders>
          </w:tcPr>
          <w:p w14:paraId="5FB9B10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(0.050)</w:t>
            </w:r>
          </w:p>
        </w:tc>
        <w:tc>
          <w:tcPr>
            <w:tcW w:w="2091" w:type="dxa"/>
            <w:tcBorders>
              <w:top w:val="nil"/>
              <w:left w:val="nil"/>
              <w:bottom w:val="nil"/>
              <w:right w:val="nil"/>
            </w:tcBorders>
          </w:tcPr>
          <w:p w14:paraId="71C8584A"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(0.071)</w:t>
            </w:r>
          </w:p>
        </w:tc>
        <w:tc>
          <w:tcPr>
            <w:tcW w:w="1803" w:type="dxa"/>
            <w:tcBorders>
              <w:top w:val="nil"/>
              <w:left w:val="nil"/>
              <w:bottom w:val="nil"/>
              <w:right w:val="nil"/>
            </w:tcBorders>
          </w:tcPr>
          <w:p w14:paraId="2DF0026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(0.032)</w:t>
            </w:r>
          </w:p>
        </w:tc>
      </w:tr>
      <w:tr w:rsidR="00361445" w:rsidRPr="005576E1" w14:paraId="16E80F0A" w14:textId="77777777" w:rsidTr="0025040E">
        <w:trPr>
          <w:jc w:val="center"/>
        </w:trPr>
        <w:tc>
          <w:tcPr>
            <w:tcW w:w="4917" w:type="dxa"/>
            <w:tcBorders>
              <w:top w:val="nil"/>
              <w:left w:val="nil"/>
              <w:bottom w:val="nil"/>
              <w:right w:val="nil"/>
            </w:tcBorders>
          </w:tcPr>
          <w:p w14:paraId="05677B5F"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Retail</w:t>
            </w:r>
          </w:p>
        </w:tc>
        <w:tc>
          <w:tcPr>
            <w:tcW w:w="2346" w:type="dxa"/>
            <w:tcBorders>
              <w:top w:val="nil"/>
              <w:left w:val="dashed" w:sz="6" w:space="0" w:color="auto"/>
              <w:bottom w:val="nil"/>
              <w:right w:val="nil"/>
            </w:tcBorders>
          </w:tcPr>
          <w:p w14:paraId="6DF498B1"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0.088</w:t>
            </w:r>
          </w:p>
        </w:tc>
        <w:tc>
          <w:tcPr>
            <w:tcW w:w="1803" w:type="dxa"/>
            <w:tcBorders>
              <w:top w:val="nil"/>
              <w:left w:val="nil"/>
              <w:bottom w:val="nil"/>
              <w:right w:val="nil"/>
            </w:tcBorders>
          </w:tcPr>
          <w:p w14:paraId="5B92AC72"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0.091**</w:t>
            </w:r>
          </w:p>
        </w:tc>
        <w:tc>
          <w:tcPr>
            <w:tcW w:w="2091" w:type="dxa"/>
            <w:tcBorders>
              <w:top w:val="nil"/>
              <w:left w:val="nil"/>
              <w:bottom w:val="nil"/>
              <w:right w:val="nil"/>
            </w:tcBorders>
          </w:tcPr>
          <w:p w14:paraId="24EE6BDB"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-0.163**</w:t>
            </w:r>
          </w:p>
        </w:tc>
        <w:tc>
          <w:tcPr>
            <w:tcW w:w="1803" w:type="dxa"/>
            <w:tcBorders>
              <w:top w:val="nil"/>
              <w:left w:val="nil"/>
              <w:bottom w:val="nil"/>
              <w:right w:val="nil"/>
            </w:tcBorders>
          </w:tcPr>
          <w:p w14:paraId="69AC6D40"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-0.171**</w:t>
            </w:r>
          </w:p>
        </w:tc>
      </w:tr>
      <w:tr w:rsidR="00361445" w:rsidRPr="005576E1" w14:paraId="3DFB3EB0" w14:textId="77777777" w:rsidTr="0025040E">
        <w:trPr>
          <w:jc w:val="center"/>
        </w:trPr>
        <w:tc>
          <w:tcPr>
            <w:tcW w:w="4917" w:type="dxa"/>
            <w:tcBorders>
              <w:top w:val="nil"/>
              <w:left w:val="nil"/>
              <w:bottom w:val="nil"/>
              <w:right w:val="nil"/>
            </w:tcBorders>
          </w:tcPr>
          <w:p w14:paraId="5F959D7D"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09C7C0B8"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(0.048)</w:t>
            </w:r>
          </w:p>
        </w:tc>
        <w:tc>
          <w:tcPr>
            <w:tcW w:w="1803" w:type="dxa"/>
            <w:tcBorders>
              <w:top w:val="nil"/>
              <w:left w:val="nil"/>
              <w:bottom w:val="nil"/>
              <w:right w:val="nil"/>
            </w:tcBorders>
          </w:tcPr>
          <w:p w14:paraId="4F39136E"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(0.033)</w:t>
            </w:r>
          </w:p>
        </w:tc>
        <w:tc>
          <w:tcPr>
            <w:tcW w:w="2091" w:type="dxa"/>
            <w:tcBorders>
              <w:top w:val="nil"/>
              <w:left w:val="nil"/>
              <w:bottom w:val="nil"/>
              <w:right w:val="nil"/>
            </w:tcBorders>
          </w:tcPr>
          <w:p w14:paraId="5BAB52D4"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(0.052)</w:t>
            </w:r>
          </w:p>
        </w:tc>
        <w:tc>
          <w:tcPr>
            <w:tcW w:w="1803" w:type="dxa"/>
            <w:tcBorders>
              <w:top w:val="nil"/>
              <w:left w:val="nil"/>
              <w:bottom w:val="nil"/>
              <w:right w:val="nil"/>
            </w:tcBorders>
          </w:tcPr>
          <w:p w14:paraId="5695701F"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(0.023)</w:t>
            </w:r>
          </w:p>
        </w:tc>
      </w:tr>
      <w:tr w:rsidR="00361445" w:rsidRPr="005576E1" w14:paraId="00FDED6B" w14:textId="77777777" w:rsidTr="0025040E">
        <w:trPr>
          <w:jc w:val="center"/>
        </w:trPr>
        <w:tc>
          <w:tcPr>
            <w:tcW w:w="4917" w:type="dxa"/>
            <w:tcBorders>
              <w:top w:val="nil"/>
              <w:left w:val="nil"/>
              <w:bottom w:val="nil"/>
              <w:right w:val="nil"/>
            </w:tcBorders>
          </w:tcPr>
          <w:p w14:paraId="6AA0AF37"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Services</w:t>
            </w:r>
          </w:p>
        </w:tc>
        <w:tc>
          <w:tcPr>
            <w:tcW w:w="2346" w:type="dxa"/>
            <w:tcBorders>
              <w:top w:val="nil"/>
              <w:left w:val="dashed" w:sz="6" w:space="0" w:color="auto"/>
              <w:bottom w:val="nil"/>
              <w:right w:val="nil"/>
            </w:tcBorders>
          </w:tcPr>
          <w:p w14:paraId="316EC38C"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-0.101**</w:t>
            </w:r>
          </w:p>
        </w:tc>
        <w:tc>
          <w:tcPr>
            <w:tcW w:w="1803" w:type="dxa"/>
            <w:tcBorders>
              <w:top w:val="nil"/>
              <w:left w:val="nil"/>
              <w:bottom w:val="nil"/>
              <w:right w:val="nil"/>
            </w:tcBorders>
          </w:tcPr>
          <w:p w14:paraId="0150A14A"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-0.103**</w:t>
            </w:r>
          </w:p>
        </w:tc>
        <w:tc>
          <w:tcPr>
            <w:tcW w:w="2091" w:type="dxa"/>
            <w:tcBorders>
              <w:top w:val="nil"/>
              <w:left w:val="nil"/>
              <w:bottom w:val="nil"/>
              <w:right w:val="nil"/>
            </w:tcBorders>
          </w:tcPr>
          <w:p w14:paraId="0D4835AE"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-0.146**</w:t>
            </w:r>
          </w:p>
        </w:tc>
        <w:tc>
          <w:tcPr>
            <w:tcW w:w="1803" w:type="dxa"/>
            <w:tcBorders>
              <w:top w:val="nil"/>
              <w:left w:val="nil"/>
              <w:bottom w:val="nil"/>
              <w:right w:val="nil"/>
            </w:tcBorders>
          </w:tcPr>
          <w:p w14:paraId="2640049E"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-0.163**</w:t>
            </w:r>
          </w:p>
        </w:tc>
      </w:tr>
      <w:tr w:rsidR="00361445" w:rsidRPr="005576E1" w14:paraId="4940BBD4" w14:textId="77777777" w:rsidTr="0025040E">
        <w:trPr>
          <w:jc w:val="center"/>
        </w:trPr>
        <w:tc>
          <w:tcPr>
            <w:tcW w:w="4917" w:type="dxa"/>
            <w:tcBorders>
              <w:top w:val="nil"/>
              <w:left w:val="nil"/>
              <w:bottom w:val="nil"/>
              <w:right w:val="nil"/>
            </w:tcBorders>
          </w:tcPr>
          <w:p w14:paraId="2889CCB2"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497E87F1"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(0.032)</w:t>
            </w:r>
          </w:p>
        </w:tc>
        <w:tc>
          <w:tcPr>
            <w:tcW w:w="1803" w:type="dxa"/>
            <w:tcBorders>
              <w:top w:val="nil"/>
              <w:left w:val="nil"/>
              <w:bottom w:val="nil"/>
              <w:right w:val="nil"/>
            </w:tcBorders>
          </w:tcPr>
          <w:p w14:paraId="163209E3"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c>
          <w:tcPr>
            <w:tcW w:w="2091" w:type="dxa"/>
            <w:tcBorders>
              <w:top w:val="nil"/>
              <w:left w:val="nil"/>
              <w:bottom w:val="nil"/>
              <w:right w:val="nil"/>
            </w:tcBorders>
          </w:tcPr>
          <w:p w14:paraId="18B1FB12"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(0.041)</w:t>
            </w:r>
          </w:p>
        </w:tc>
        <w:tc>
          <w:tcPr>
            <w:tcW w:w="1803" w:type="dxa"/>
            <w:tcBorders>
              <w:top w:val="nil"/>
              <w:left w:val="nil"/>
              <w:bottom w:val="nil"/>
              <w:right w:val="nil"/>
            </w:tcBorders>
          </w:tcPr>
          <w:p w14:paraId="7EF99E74"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(0.018)</w:t>
            </w:r>
          </w:p>
        </w:tc>
      </w:tr>
      <w:tr w:rsidR="00361445" w:rsidRPr="005576E1" w14:paraId="4F6608CE" w14:textId="77777777" w:rsidTr="0025040E">
        <w:trPr>
          <w:jc w:val="center"/>
        </w:trPr>
        <w:tc>
          <w:tcPr>
            <w:tcW w:w="4917" w:type="dxa"/>
            <w:tcBorders>
              <w:top w:val="nil"/>
              <w:left w:val="nil"/>
              <w:bottom w:val="nil"/>
              <w:right w:val="nil"/>
            </w:tcBorders>
          </w:tcPr>
          <w:p w14:paraId="53729F3D"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Total</w:t>
            </w:r>
          </w:p>
        </w:tc>
        <w:tc>
          <w:tcPr>
            <w:tcW w:w="2346" w:type="dxa"/>
            <w:tcBorders>
              <w:top w:val="nil"/>
              <w:left w:val="dashed" w:sz="6" w:space="0" w:color="auto"/>
              <w:bottom w:val="nil"/>
              <w:right w:val="nil"/>
            </w:tcBorders>
          </w:tcPr>
          <w:p w14:paraId="6F53BE39"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-0.017</w:t>
            </w:r>
          </w:p>
        </w:tc>
        <w:tc>
          <w:tcPr>
            <w:tcW w:w="1803" w:type="dxa"/>
            <w:tcBorders>
              <w:top w:val="nil"/>
              <w:left w:val="nil"/>
              <w:bottom w:val="nil"/>
              <w:right w:val="nil"/>
            </w:tcBorders>
          </w:tcPr>
          <w:p w14:paraId="7AB59374"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-0.017*</w:t>
            </w:r>
          </w:p>
        </w:tc>
        <w:tc>
          <w:tcPr>
            <w:tcW w:w="2091" w:type="dxa"/>
            <w:tcBorders>
              <w:top w:val="nil"/>
              <w:left w:val="nil"/>
              <w:bottom w:val="nil"/>
              <w:right w:val="nil"/>
            </w:tcBorders>
          </w:tcPr>
          <w:p w14:paraId="22E6C7FF"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-0.025</w:t>
            </w:r>
          </w:p>
        </w:tc>
        <w:tc>
          <w:tcPr>
            <w:tcW w:w="1803" w:type="dxa"/>
            <w:tcBorders>
              <w:top w:val="nil"/>
              <w:left w:val="nil"/>
              <w:bottom w:val="nil"/>
              <w:right w:val="nil"/>
            </w:tcBorders>
          </w:tcPr>
          <w:p w14:paraId="0A93490C"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-0.030**</w:t>
            </w:r>
          </w:p>
        </w:tc>
      </w:tr>
      <w:tr w:rsidR="00361445" w:rsidRPr="005576E1" w14:paraId="57312967" w14:textId="77777777" w:rsidTr="0025040E">
        <w:trPr>
          <w:jc w:val="center"/>
        </w:trPr>
        <w:tc>
          <w:tcPr>
            <w:tcW w:w="4917" w:type="dxa"/>
            <w:tcBorders>
              <w:top w:val="nil"/>
              <w:left w:val="nil"/>
              <w:bottom w:val="nil"/>
              <w:right w:val="nil"/>
            </w:tcBorders>
          </w:tcPr>
          <w:p w14:paraId="186CB090"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1CBE431B"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c>
          <w:tcPr>
            <w:tcW w:w="1803" w:type="dxa"/>
            <w:tcBorders>
              <w:top w:val="nil"/>
              <w:left w:val="nil"/>
              <w:bottom w:val="nil"/>
              <w:right w:val="nil"/>
            </w:tcBorders>
          </w:tcPr>
          <w:p w14:paraId="4A211E87"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(0.009)</w:t>
            </w:r>
          </w:p>
        </w:tc>
        <w:tc>
          <w:tcPr>
            <w:tcW w:w="2091" w:type="dxa"/>
            <w:tcBorders>
              <w:top w:val="nil"/>
              <w:left w:val="nil"/>
              <w:bottom w:val="nil"/>
              <w:right w:val="nil"/>
            </w:tcBorders>
          </w:tcPr>
          <w:p w14:paraId="739CF1F6"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(0.015)</w:t>
            </w:r>
          </w:p>
        </w:tc>
        <w:tc>
          <w:tcPr>
            <w:tcW w:w="1803" w:type="dxa"/>
            <w:tcBorders>
              <w:top w:val="nil"/>
              <w:left w:val="nil"/>
              <w:bottom w:val="nil"/>
              <w:right w:val="nil"/>
            </w:tcBorders>
          </w:tcPr>
          <w:p w14:paraId="66FB7129"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(0.006)</w:t>
            </w:r>
          </w:p>
        </w:tc>
      </w:tr>
      <w:tr w:rsidR="00361445" w:rsidRPr="005576E1" w14:paraId="595DA311" w14:textId="77777777" w:rsidTr="0025040E">
        <w:trPr>
          <w:jc w:val="center"/>
        </w:trPr>
        <w:tc>
          <w:tcPr>
            <w:tcW w:w="4917" w:type="dxa"/>
            <w:tcBorders>
              <w:top w:val="nil"/>
              <w:left w:val="nil"/>
              <w:bottom w:val="nil"/>
              <w:right w:val="nil"/>
            </w:tcBorders>
          </w:tcPr>
          <w:p w14:paraId="140E49C2"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Manufacturing</w:t>
            </w:r>
          </w:p>
        </w:tc>
        <w:tc>
          <w:tcPr>
            <w:tcW w:w="2346" w:type="dxa"/>
            <w:tcBorders>
              <w:top w:val="nil"/>
              <w:left w:val="dashed" w:sz="6" w:space="0" w:color="auto"/>
              <w:bottom w:val="nil"/>
              <w:right w:val="nil"/>
            </w:tcBorders>
          </w:tcPr>
          <w:p w14:paraId="03305C31"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0.020</w:t>
            </w:r>
          </w:p>
        </w:tc>
        <w:tc>
          <w:tcPr>
            <w:tcW w:w="1803" w:type="dxa"/>
            <w:tcBorders>
              <w:top w:val="nil"/>
              <w:left w:val="nil"/>
              <w:bottom w:val="nil"/>
              <w:right w:val="nil"/>
            </w:tcBorders>
          </w:tcPr>
          <w:p w14:paraId="714D669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0.019</w:t>
            </w:r>
          </w:p>
        </w:tc>
        <w:tc>
          <w:tcPr>
            <w:tcW w:w="2091" w:type="dxa"/>
            <w:tcBorders>
              <w:top w:val="nil"/>
              <w:left w:val="nil"/>
              <w:bottom w:val="nil"/>
              <w:right w:val="nil"/>
            </w:tcBorders>
          </w:tcPr>
          <w:p w14:paraId="4164AD4F"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-0.055</w:t>
            </w:r>
          </w:p>
        </w:tc>
        <w:tc>
          <w:tcPr>
            <w:tcW w:w="1803" w:type="dxa"/>
            <w:tcBorders>
              <w:top w:val="nil"/>
              <w:left w:val="nil"/>
              <w:bottom w:val="nil"/>
              <w:right w:val="nil"/>
            </w:tcBorders>
          </w:tcPr>
          <w:p w14:paraId="4E59780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-0.071**</w:t>
            </w:r>
          </w:p>
        </w:tc>
      </w:tr>
      <w:tr w:rsidR="00361445" w:rsidRPr="005576E1" w14:paraId="32045BF1" w14:textId="77777777" w:rsidTr="0025040E">
        <w:trPr>
          <w:jc w:val="center"/>
        </w:trPr>
        <w:tc>
          <w:tcPr>
            <w:tcW w:w="4917" w:type="dxa"/>
            <w:tcBorders>
              <w:top w:val="nil"/>
              <w:left w:val="nil"/>
              <w:bottom w:val="nil"/>
              <w:right w:val="nil"/>
            </w:tcBorders>
          </w:tcPr>
          <w:p w14:paraId="7845A1CF"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225D6BDA"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(0.031)</w:t>
            </w:r>
          </w:p>
        </w:tc>
        <w:tc>
          <w:tcPr>
            <w:tcW w:w="1803" w:type="dxa"/>
            <w:tcBorders>
              <w:top w:val="nil"/>
              <w:left w:val="nil"/>
              <w:bottom w:val="nil"/>
              <w:right w:val="nil"/>
            </w:tcBorders>
          </w:tcPr>
          <w:p w14:paraId="74FF422A"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c>
          <w:tcPr>
            <w:tcW w:w="2091" w:type="dxa"/>
            <w:tcBorders>
              <w:top w:val="nil"/>
              <w:left w:val="nil"/>
              <w:bottom w:val="nil"/>
              <w:right w:val="nil"/>
            </w:tcBorders>
          </w:tcPr>
          <w:p w14:paraId="7F9A3965"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(0.029)</w:t>
            </w:r>
          </w:p>
        </w:tc>
        <w:tc>
          <w:tcPr>
            <w:tcW w:w="1803" w:type="dxa"/>
            <w:tcBorders>
              <w:top w:val="nil"/>
              <w:left w:val="nil"/>
              <w:bottom w:val="nil"/>
              <w:right w:val="nil"/>
            </w:tcBorders>
          </w:tcPr>
          <w:p w14:paraId="5A98C682"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361445" w:rsidRPr="005576E1" w14:paraId="0AC5E864" w14:textId="77777777" w:rsidTr="0025040E">
        <w:trPr>
          <w:jc w:val="center"/>
        </w:trPr>
        <w:tc>
          <w:tcPr>
            <w:tcW w:w="4917" w:type="dxa"/>
            <w:tcBorders>
              <w:top w:val="nil"/>
              <w:left w:val="nil"/>
              <w:bottom w:val="nil"/>
              <w:right w:val="nil"/>
            </w:tcBorders>
          </w:tcPr>
          <w:p w14:paraId="6C4809E9"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Retail</w:t>
            </w:r>
          </w:p>
        </w:tc>
        <w:tc>
          <w:tcPr>
            <w:tcW w:w="2346" w:type="dxa"/>
            <w:tcBorders>
              <w:top w:val="nil"/>
              <w:left w:val="dashed" w:sz="6" w:space="0" w:color="auto"/>
              <w:bottom w:val="nil"/>
              <w:right w:val="nil"/>
            </w:tcBorders>
          </w:tcPr>
          <w:p w14:paraId="22B115EC"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0.016</w:t>
            </w:r>
          </w:p>
        </w:tc>
        <w:tc>
          <w:tcPr>
            <w:tcW w:w="1803" w:type="dxa"/>
            <w:tcBorders>
              <w:top w:val="nil"/>
              <w:left w:val="nil"/>
              <w:bottom w:val="nil"/>
              <w:right w:val="nil"/>
            </w:tcBorders>
          </w:tcPr>
          <w:p w14:paraId="7EA2D652"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0.014</w:t>
            </w:r>
          </w:p>
        </w:tc>
        <w:tc>
          <w:tcPr>
            <w:tcW w:w="2091" w:type="dxa"/>
            <w:tcBorders>
              <w:top w:val="nil"/>
              <w:left w:val="nil"/>
              <w:bottom w:val="nil"/>
              <w:right w:val="nil"/>
            </w:tcBorders>
          </w:tcPr>
          <w:p w14:paraId="480514F4"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-0.049</w:t>
            </w:r>
          </w:p>
        </w:tc>
        <w:tc>
          <w:tcPr>
            <w:tcW w:w="1803" w:type="dxa"/>
            <w:tcBorders>
              <w:top w:val="nil"/>
              <w:left w:val="nil"/>
              <w:bottom w:val="nil"/>
              <w:right w:val="nil"/>
            </w:tcBorders>
          </w:tcPr>
          <w:p w14:paraId="0601B693"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-0.062**</w:t>
            </w:r>
          </w:p>
        </w:tc>
      </w:tr>
      <w:tr w:rsidR="00361445" w:rsidRPr="005576E1" w14:paraId="78086630" w14:textId="77777777" w:rsidTr="0025040E">
        <w:trPr>
          <w:jc w:val="center"/>
        </w:trPr>
        <w:tc>
          <w:tcPr>
            <w:tcW w:w="4917" w:type="dxa"/>
            <w:tcBorders>
              <w:top w:val="nil"/>
              <w:left w:val="nil"/>
              <w:bottom w:val="nil"/>
              <w:right w:val="nil"/>
            </w:tcBorders>
          </w:tcPr>
          <w:p w14:paraId="657106A3"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nil"/>
              <w:right w:val="nil"/>
            </w:tcBorders>
          </w:tcPr>
          <w:p w14:paraId="3C1891E7"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(0.026)</w:t>
            </w:r>
          </w:p>
        </w:tc>
        <w:tc>
          <w:tcPr>
            <w:tcW w:w="1803" w:type="dxa"/>
            <w:tcBorders>
              <w:top w:val="nil"/>
              <w:left w:val="nil"/>
              <w:bottom w:val="nil"/>
              <w:right w:val="nil"/>
            </w:tcBorders>
          </w:tcPr>
          <w:p w14:paraId="15A219F8"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(0.018)</w:t>
            </w:r>
          </w:p>
        </w:tc>
        <w:tc>
          <w:tcPr>
            <w:tcW w:w="2091" w:type="dxa"/>
            <w:tcBorders>
              <w:top w:val="nil"/>
              <w:left w:val="nil"/>
              <w:bottom w:val="nil"/>
              <w:right w:val="nil"/>
            </w:tcBorders>
          </w:tcPr>
          <w:p w14:paraId="06CB0AC6"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(0.028)</w:t>
            </w:r>
          </w:p>
        </w:tc>
        <w:tc>
          <w:tcPr>
            <w:tcW w:w="1803" w:type="dxa"/>
            <w:tcBorders>
              <w:top w:val="nil"/>
              <w:left w:val="nil"/>
              <w:bottom w:val="nil"/>
              <w:right w:val="nil"/>
            </w:tcBorders>
          </w:tcPr>
          <w:p w14:paraId="366912F1"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(0.012)</w:t>
            </w:r>
          </w:p>
        </w:tc>
      </w:tr>
      <w:tr w:rsidR="00361445" w:rsidRPr="005576E1" w14:paraId="2886E447" w14:textId="77777777" w:rsidTr="0025040E">
        <w:trPr>
          <w:jc w:val="center"/>
        </w:trPr>
        <w:tc>
          <w:tcPr>
            <w:tcW w:w="4917" w:type="dxa"/>
            <w:tcBorders>
              <w:top w:val="nil"/>
              <w:left w:val="nil"/>
              <w:bottom w:val="nil"/>
              <w:right w:val="nil"/>
            </w:tcBorders>
          </w:tcPr>
          <w:p w14:paraId="754539F1"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Services</w:t>
            </w:r>
          </w:p>
        </w:tc>
        <w:tc>
          <w:tcPr>
            <w:tcW w:w="2346" w:type="dxa"/>
            <w:tcBorders>
              <w:top w:val="nil"/>
              <w:left w:val="dashed" w:sz="6" w:space="0" w:color="auto"/>
              <w:bottom w:val="nil"/>
              <w:right w:val="nil"/>
            </w:tcBorders>
          </w:tcPr>
          <w:p w14:paraId="7BCCD226"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-0.060**</w:t>
            </w:r>
          </w:p>
        </w:tc>
        <w:tc>
          <w:tcPr>
            <w:tcW w:w="1803" w:type="dxa"/>
            <w:tcBorders>
              <w:top w:val="nil"/>
              <w:left w:val="nil"/>
              <w:bottom w:val="nil"/>
              <w:right w:val="nil"/>
            </w:tcBorders>
          </w:tcPr>
          <w:p w14:paraId="7BA708E4"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-0.061**</w:t>
            </w:r>
          </w:p>
        </w:tc>
        <w:tc>
          <w:tcPr>
            <w:tcW w:w="2091" w:type="dxa"/>
            <w:tcBorders>
              <w:top w:val="nil"/>
              <w:left w:val="nil"/>
              <w:bottom w:val="nil"/>
              <w:right w:val="nil"/>
            </w:tcBorders>
          </w:tcPr>
          <w:p w14:paraId="520D143A"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-0.051*</w:t>
            </w:r>
          </w:p>
        </w:tc>
        <w:tc>
          <w:tcPr>
            <w:tcW w:w="1803" w:type="dxa"/>
            <w:tcBorders>
              <w:top w:val="nil"/>
              <w:left w:val="nil"/>
              <w:bottom w:val="nil"/>
              <w:right w:val="nil"/>
            </w:tcBorders>
          </w:tcPr>
          <w:p w14:paraId="5ACDE995"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-0.055**</w:t>
            </w:r>
          </w:p>
        </w:tc>
      </w:tr>
      <w:tr w:rsidR="00361445" w:rsidRPr="005576E1" w14:paraId="6541CFE7" w14:textId="77777777" w:rsidTr="0025040E">
        <w:trPr>
          <w:jc w:val="center"/>
        </w:trPr>
        <w:tc>
          <w:tcPr>
            <w:tcW w:w="4917" w:type="dxa"/>
            <w:tcBorders>
              <w:top w:val="nil"/>
              <w:left w:val="nil"/>
              <w:bottom w:val="single" w:sz="6" w:space="0" w:color="auto"/>
              <w:right w:val="nil"/>
            </w:tcBorders>
          </w:tcPr>
          <w:p w14:paraId="59F047E4" w14:textId="77777777" w:rsidR="00361445" w:rsidRPr="005576E1" w:rsidRDefault="00361445" w:rsidP="005576E1">
            <w:pPr>
              <w:widowControl w:val="0"/>
              <w:autoSpaceDE w:val="0"/>
              <w:autoSpaceDN w:val="0"/>
              <w:adjustRightInd w:val="0"/>
              <w:rPr>
                <w:rFonts w:ascii="Times New Roman" w:hAnsi="Times New Roman" w:cs="Times New Roman"/>
                <w:sz w:val="20"/>
                <w:szCs w:val="20"/>
              </w:rPr>
            </w:pPr>
          </w:p>
        </w:tc>
        <w:tc>
          <w:tcPr>
            <w:tcW w:w="2346" w:type="dxa"/>
            <w:tcBorders>
              <w:top w:val="nil"/>
              <w:left w:val="dashed" w:sz="6" w:space="0" w:color="auto"/>
              <w:bottom w:val="single" w:sz="6" w:space="0" w:color="auto"/>
              <w:right w:val="nil"/>
            </w:tcBorders>
          </w:tcPr>
          <w:p w14:paraId="7202D655" w14:textId="77777777" w:rsidR="00361445" w:rsidRPr="005576E1" w:rsidRDefault="00361445" w:rsidP="005576E1">
            <w:pPr>
              <w:widowControl w:val="0"/>
              <w:tabs>
                <w:tab w:val="decimal" w:pos="961"/>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(0.018)</w:t>
            </w:r>
          </w:p>
        </w:tc>
        <w:tc>
          <w:tcPr>
            <w:tcW w:w="1803" w:type="dxa"/>
            <w:tcBorders>
              <w:top w:val="nil"/>
              <w:left w:val="nil"/>
              <w:bottom w:val="single" w:sz="6" w:space="0" w:color="auto"/>
              <w:right w:val="nil"/>
            </w:tcBorders>
          </w:tcPr>
          <w:p w14:paraId="71E57948"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(0.012)</w:t>
            </w:r>
          </w:p>
        </w:tc>
        <w:tc>
          <w:tcPr>
            <w:tcW w:w="2091" w:type="dxa"/>
            <w:tcBorders>
              <w:top w:val="nil"/>
              <w:left w:val="nil"/>
              <w:bottom w:val="single" w:sz="6" w:space="0" w:color="auto"/>
              <w:right w:val="nil"/>
            </w:tcBorders>
          </w:tcPr>
          <w:p w14:paraId="0B6AA97C" w14:textId="77777777" w:rsidR="00361445" w:rsidRPr="005576E1" w:rsidRDefault="00361445"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c>
          <w:tcPr>
            <w:tcW w:w="1803" w:type="dxa"/>
            <w:tcBorders>
              <w:top w:val="nil"/>
              <w:left w:val="nil"/>
              <w:bottom w:val="single" w:sz="6" w:space="0" w:color="auto"/>
              <w:right w:val="nil"/>
            </w:tcBorders>
          </w:tcPr>
          <w:p w14:paraId="15F4A3EF" w14:textId="77777777" w:rsidR="00361445" w:rsidRPr="005576E1" w:rsidRDefault="00361445"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(0.009)</w:t>
            </w:r>
          </w:p>
        </w:tc>
      </w:tr>
    </w:tbl>
    <w:p w14:paraId="28D1C715" w14:textId="10A4FEA8" w:rsidR="00361445" w:rsidRPr="005576E1" w:rsidRDefault="0025040E" w:rsidP="005576E1">
      <w:pPr>
        <w:widowControl w:val="0"/>
        <w:autoSpaceDE w:val="0"/>
        <w:autoSpaceDN w:val="0"/>
        <w:adjustRightInd w:val="0"/>
        <w:spacing w:after="66"/>
        <w:rPr>
          <w:rFonts w:ascii="Times New Roman" w:hAnsi="Times New Roman" w:cs="Times New Roman"/>
          <w:sz w:val="16"/>
          <w:szCs w:val="16"/>
        </w:rPr>
      </w:pPr>
      <w:r w:rsidRPr="005576E1">
        <w:rPr>
          <w:rFonts w:ascii="Times New Roman" w:hAnsi="Times New Roman" w:cs="Times New Roman"/>
          <w:sz w:val="16"/>
          <w:szCs w:val="16"/>
        </w:rPr>
        <w:t xml:space="preserve">Main independent variable is a binary indicator of TIF designation. </w:t>
      </w:r>
      <w:r w:rsidR="00361445" w:rsidRPr="005576E1">
        <w:rPr>
          <w:rFonts w:ascii="Times New Roman" w:hAnsi="Times New Roman" w:cs="Times New Roman"/>
          <w:sz w:val="16"/>
          <w:szCs w:val="16"/>
        </w:rPr>
        <w:t>All specifications account for raw population changes at the tract level and include block group and year fixed effects as well as block group specific time trends.</w:t>
      </w:r>
    </w:p>
    <w:p w14:paraId="24CA204A" w14:textId="794585A1" w:rsidR="0067022B" w:rsidRPr="005576E1" w:rsidRDefault="0067022B" w:rsidP="005576E1">
      <w:pPr>
        <w:widowControl w:val="0"/>
        <w:autoSpaceDE w:val="0"/>
        <w:autoSpaceDN w:val="0"/>
        <w:adjustRightInd w:val="0"/>
        <w:spacing w:after="66"/>
        <w:rPr>
          <w:rFonts w:ascii="Times New Roman" w:hAnsi="Times New Roman" w:cs="Times New Roman"/>
          <w:sz w:val="16"/>
          <w:szCs w:val="16"/>
        </w:rPr>
      </w:pPr>
    </w:p>
    <w:p w14:paraId="7B246E04" w14:textId="3F9D8B76" w:rsidR="0067022B" w:rsidRPr="005576E1" w:rsidRDefault="0067022B" w:rsidP="005576E1">
      <w:pPr>
        <w:widowControl w:val="0"/>
        <w:autoSpaceDE w:val="0"/>
        <w:autoSpaceDN w:val="0"/>
        <w:adjustRightInd w:val="0"/>
        <w:spacing w:after="66"/>
        <w:rPr>
          <w:rFonts w:ascii="Times New Roman" w:hAnsi="Times New Roman" w:cs="Times New Roman"/>
          <w:sz w:val="16"/>
          <w:szCs w:val="16"/>
        </w:rPr>
      </w:pPr>
    </w:p>
    <w:p w14:paraId="6F5FA3C9" w14:textId="77777777" w:rsidR="0067022B" w:rsidRPr="005576E1" w:rsidRDefault="0067022B" w:rsidP="005576E1">
      <w:pPr>
        <w:widowControl w:val="0"/>
        <w:autoSpaceDE w:val="0"/>
        <w:autoSpaceDN w:val="0"/>
        <w:adjustRightInd w:val="0"/>
        <w:spacing w:before="66" w:after="66"/>
        <w:jc w:val="center"/>
        <w:rPr>
          <w:rFonts w:ascii="Times New Roman" w:hAnsi="Times New Roman" w:cs="Times New Roman"/>
          <w:b/>
          <w:bCs/>
          <w:sz w:val="24"/>
          <w:szCs w:val="24"/>
        </w:rPr>
      </w:pPr>
    </w:p>
    <w:p w14:paraId="0A3AC0DF" w14:textId="77777777" w:rsidR="0067022B" w:rsidRPr="005576E1" w:rsidRDefault="0067022B" w:rsidP="005576E1">
      <w:pPr>
        <w:widowControl w:val="0"/>
        <w:autoSpaceDE w:val="0"/>
        <w:autoSpaceDN w:val="0"/>
        <w:adjustRightInd w:val="0"/>
        <w:spacing w:before="66" w:after="66"/>
        <w:jc w:val="center"/>
        <w:rPr>
          <w:rFonts w:ascii="Times New Roman" w:hAnsi="Times New Roman" w:cs="Times New Roman"/>
          <w:b/>
          <w:bCs/>
          <w:sz w:val="24"/>
          <w:szCs w:val="24"/>
        </w:rPr>
      </w:pPr>
    </w:p>
    <w:p w14:paraId="21D9517C" w14:textId="77777777" w:rsidR="001559DB" w:rsidRDefault="001559DB" w:rsidP="005576E1">
      <w:pPr>
        <w:widowControl w:val="0"/>
        <w:autoSpaceDE w:val="0"/>
        <w:autoSpaceDN w:val="0"/>
        <w:adjustRightInd w:val="0"/>
        <w:spacing w:before="66" w:after="66"/>
        <w:jc w:val="center"/>
        <w:rPr>
          <w:rFonts w:ascii="Times New Roman" w:hAnsi="Times New Roman" w:cs="Times New Roman"/>
          <w:b/>
          <w:bCs/>
          <w:sz w:val="24"/>
          <w:szCs w:val="24"/>
        </w:rPr>
      </w:pPr>
    </w:p>
    <w:p w14:paraId="3A9C616A" w14:textId="77777777" w:rsidR="001559DB" w:rsidRDefault="001559DB" w:rsidP="005576E1">
      <w:pPr>
        <w:widowControl w:val="0"/>
        <w:autoSpaceDE w:val="0"/>
        <w:autoSpaceDN w:val="0"/>
        <w:adjustRightInd w:val="0"/>
        <w:spacing w:before="66" w:after="66"/>
        <w:jc w:val="center"/>
        <w:rPr>
          <w:rFonts w:ascii="Times New Roman" w:hAnsi="Times New Roman" w:cs="Times New Roman"/>
          <w:b/>
          <w:bCs/>
          <w:sz w:val="24"/>
          <w:szCs w:val="24"/>
        </w:rPr>
      </w:pPr>
    </w:p>
    <w:p w14:paraId="728D15C5" w14:textId="1F92B36B" w:rsidR="0067022B" w:rsidRPr="005576E1" w:rsidRDefault="0067022B" w:rsidP="005576E1">
      <w:pPr>
        <w:widowControl w:val="0"/>
        <w:autoSpaceDE w:val="0"/>
        <w:autoSpaceDN w:val="0"/>
        <w:adjustRightInd w:val="0"/>
        <w:spacing w:before="66" w:after="66"/>
        <w:jc w:val="center"/>
        <w:rPr>
          <w:rFonts w:ascii="Times New Roman" w:hAnsi="Times New Roman" w:cs="Times New Roman"/>
          <w:b/>
          <w:bCs/>
        </w:rPr>
      </w:pPr>
      <w:r w:rsidRPr="005576E1">
        <w:rPr>
          <w:rFonts w:ascii="Times New Roman" w:hAnsi="Times New Roman" w:cs="Times New Roman"/>
          <w:b/>
          <w:bCs/>
          <w:sz w:val="24"/>
          <w:szCs w:val="24"/>
        </w:rPr>
        <w:lastRenderedPageBreak/>
        <w:t xml:space="preserve">Table </w:t>
      </w:r>
      <w:r w:rsidR="00581B12">
        <w:rPr>
          <w:rFonts w:ascii="Times New Roman" w:hAnsi="Times New Roman" w:cs="Times New Roman"/>
          <w:b/>
          <w:bCs/>
          <w:sz w:val="24"/>
          <w:szCs w:val="24"/>
        </w:rPr>
        <w:t>4</w:t>
      </w:r>
      <w:r w:rsidRPr="005576E1">
        <w:rPr>
          <w:rFonts w:ascii="Times New Roman" w:hAnsi="Times New Roman" w:cs="Times New Roman"/>
          <w:b/>
          <w:bCs/>
          <w:sz w:val="24"/>
          <w:szCs w:val="24"/>
        </w:rPr>
        <w:t xml:space="preserve">: </w:t>
      </w:r>
      <w:r w:rsidRPr="005576E1">
        <w:rPr>
          <w:rFonts w:ascii="Times New Roman" w:hAnsi="Times New Roman" w:cs="Times New Roman"/>
          <w:b/>
          <w:bCs/>
        </w:rPr>
        <w:t>The Impact of TIF Designation on the Natural Log of Employment, Sales, and Establishments, 1990-2012.</w:t>
      </w:r>
    </w:p>
    <w:p w14:paraId="2989286B" w14:textId="77777777" w:rsidR="0067022B" w:rsidRPr="005576E1" w:rsidRDefault="0067022B" w:rsidP="005576E1">
      <w:pPr>
        <w:widowControl w:val="0"/>
        <w:autoSpaceDE w:val="0"/>
        <w:autoSpaceDN w:val="0"/>
        <w:adjustRightInd w:val="0"/>
        <w:spacing w:before="66" w:after="66"/>
        <w:jc w:val="center"/>
        <w:rPr>
          <w:rFonts w:ascii="Times New Roman" w:hAnsi="Times New Roman" w:cs="Times New Roman"/>
          <w:b/>
          <w:bCs/>
          <w:sz w:val="24"/>
          <w:szCs w:val="24"/>
        </w:rPr>
      </w:pPr>
      <w:r w:rsidRPr="005576E1">
        <w:rPr>
          <w:rFonts w:ascii="Times New Roman" w:hAnsi="Times New Roman" w:cs="Times New Roman"/>
          <w:b/>
          <w:bCs/>
          <w:sz w:val="24"/>
          <w:szCs w:val="24"/>
        </w:rPr>
        <w:t>Alternative Specification Accounting for “</w:t>
      </w:r>
      <w:proofErr w:type="spellStart"/>
      <w:r w:rsidRPr="005576E1">
        <w:rPr>
          <w:rFonts w:ascii="Times New Roman" w:hAnsi="Times New Roman" w:cs="Times New Roman"/>
          <w:b/>
          <w:bCs/>
          <w:sz w:val="24"/>
          <w:szCs w:val="24"/>
        </w:rPr>
        <w:t>Ashfelter</w:t>
      </w:r>
      <w:proofErr w:type="spellEnd"/>
      <w:r w:rsidRPr="005576E1">
        <w:rPr>
          <w:rFonts w:ascii="Times New Roman" w:hAnsi="Times New Roman" w:cs="Times New Roman"/>
          <w:b/>
          <w:bCs/>
          <w:sz w:val="24"/>
          <w:szCs w:val="24"/>
        </w:rPr>
        <w:t xml:space="preserve"> Dip”</w:t>
      </w:r>
    </w:p>
    <w:tbl>
      <w:tblPr>
        <w:tblW w:w="0" w:type="auto"/>
        <w:jc w:val="center"/>
        <w:tblCellMar>
          <w:left w:w="144" w:type="dxa"/>
          <w:right w:w="144" w:type="dxa"/>
        </w:tblCellMar>
        <w:tblLook w:val="0000" w:firstRow="0" w:lastRow="0" w:firstColumn="0" w:lastColumn="0" w:noHBand="0" w:noVBand="0"/>
      </w:tblPr>
      <w:tblGrid>
        <w:gridCol w:w="4948"/>
        <w:gridCol w:w="2349"/>
        <w:gridCol w:w="1786"/>
        <w:gridCol w:w="2091"/>
        <w:gridCol w:w="1786"/>
      </w:tblGrid>
      <w:tr w:rsidR="005576E1" w:rsidRPr="005576E1" w14:paraId="00250AEE" w14:textId="77777777" w:rsidTr="00E23A10">
        <w:trPr>
          <w:jc w:val="center"/>
        </w:trPr>
        <w:tc>
          <w:tcPr>
            <w:tcW w:w="5180" w:type="dxa"/>
            <w:tcBorders>
              <w:top w:val="single" w:sz="6" w:space="0" w:color="auto"/>
              <w:left w:val="nil"/>
              <w:bottom w:val="nil"/>
              <w:right w:val="nil"/>
            </w:tcBorders>
          </w:tcPr>
          <w:p w14:paraId="0DE06279" w14:textId="77777777" w:rsidR="0067022B" w:rsidRPr="005576E1" w:rsidRDefault="0067022B" w:rsidP="005576E1">
            <w:pPr>
              <w:widowControl w:val="0"/>
              <w:autoSpaceDE w:val="0"/>
              <w:autoSpaceDN w:val="0"/>
              <w:adjustRightInd w:val="0"/>
              <w:spacing w:before="66"/>
              <w:rPr>
                <w:rFonts w:ascii="Times New Roman" w:hAnsi="Times New Roman" w:cs="Times New Roman"/>
                <w:sz w:val="20"/>
                <w:szCs w:val="20"/>
              </w:rPr>
            </w:pPr>
          </w:p>
        </w:tc>
        <w:tc>
          <w:tcPr>
            <w:tcW w:w="3500" w:type="dxa"/>
            <w:gridSpan w:val="2"/>
            <w:tcBorders>
              <w:top w:val="single" w:sz="6" w:space="0" w:color="auto"/>
              <w:left w:val="dashed" w:sz="6" w:space="0" w:color="auto"/>
              <w:bottom w:val="nil"/>
              <w:right w:val="nil"/>
            </w:tcBorders>
          </w:tcPr>
          <w:p w14:paraId="742E6803" w14:textId="77777777" w:rsidR="0067022B" w:rsidRPr="005576E1" w:rsidRDefault="0067022B"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Kansas City</w:t>
            </w:r>
          </w:p>
        </w:tc>
        <w:tc>
          <w:tcPr>
            <w:tcW w:w="3220" w:type="dxa"/>
            <w:gridSpan w:val="2"/>
            <w:tcBorders>
              <w:top w:val="single" w:sz="6" w:space="0" w:color="auto"/>
              <w:left w:val="nil"/>
              <w:bottom w:val="nil"/>
              <w:right w:val="nil"/>
            </w:tcBorders>
          </w:tcPr>
          <w:p w14:paraId="335933CD" w14:textId="6485B28D" w:rsidR="0067022B" w:rsidRPr="005576E1" w:rsidRDefault="005576E1"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Saint Louis</w:t>
            </w:r>
          </w:p>
        </w:tc>
      </w:tr>
      <w:tr w:rsidR="005576E1" w:rsidRPr="005576E1" w14:paraId="64426A34" w14:textId="77777777" w:rsidTr="00E23A10">
        <w:trPr>
          <w:jc w:val="center"/>
        </w:trPr>
        <w:tc>
          <w:tcPr>
            <w:tcW w:w="5180" w:type="dxa"/>
            <w:tcBorders>
              <w:top w:val="nil"/>
              <w:left w:val="nil"/>
              <w:bottom w:val="nil"/>
              <w:right w:val="nil"/>
            </w:tcBorders>
          </w:tcPr>
          <w:p w14:paraId="2820FC91" w14:textId="77777777" w:rsidR="0067022B" w:rsidRPr="005576E1" w:rsidRDefault="0067022B" w:rsidP="005576E1">
            <w:pPr>
              <w:widowControl w:val="0"/>
              <w:autoSpaceDE w:val="0"/>
              <w:autoSpaceDN w:val="0"/>
              <w:adjustRightInd w:val="0"/>
              <w:spacing w:after="66"/>
              <w:rPr>
                <w:rFonts w:ascii="Times New Roman" w:hAnsi="Times New Roman" w:cs="Times New Roman"/>
                <w:sz w:val="20"/>
                <w:szCs w:val="20"/>
              </w:rPr>
            </w:pPr>
          </w:p>
        </w:tc>
        <w:tc>
          <w:tcPr>
            <w:tcW w:w="2380" w:type="dxa"/>
            <w:tcBorders>
              <w:top w:val="nil"/>
              <w:left w:val="dashed" w:sz="6" w:space="0" w:color="auto"/>
              <w:bottom w:val="nil"/>
              <w:right w:val="nil"/>
            </w:tcBorders>
          </w:tcPr>
          <w:p w14:paraId="148611AF"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120" w:type="dxa"/>
            <w:tcBorders>
              <w:top w:val="nil"/>
              <w:left w:val="nil"/>
              <w:bottom w:val="nil"/>
              <w:right w:val="nil"/>
            </w:tcBorders>
          </w:tcPr>
          <w:p w14:paraId="7661219D"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c>
          <w:tcPr>
            <w:tcW w:w="2100" w:type="dxa"/>
            <w:tcBorders>
              <w:top w:val="nil"/>
              <w:left w:val="nil"/>
              <w:bottom w:val="nil"/>
              <w:right w:val="nil"/>
            </w:tcBorders>
          </w:tcPr>
          <w:p w14:paraId="07538956"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120" w:type="dxa"/>
            <w:tcBorders>
              <w:top w:val="nil"/>
              <w:left w:val="nil"/>
              <w:bottom w:val="nil"/>
              <w:right w:val="nil"/>
            </w:tcBorders>
          </w:tcPr>
          <w:p w14:paraId="2AC8611D"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r>
      <w:tr w:rsidR="005576E1" w:rsidRPr="005576E1" w14:paraId="21161DF7" w14:textId="77777777" w:rsidTr="00E23A10">
        <w:trPr>
          <w:jc w:val="center"/>
        </w:trPr>
        <w:tc>
          <w:tcPr>
            <w:tcW w:w="5180" w:type="dxa"/>
            <w:tcBorders>
              <w:top w:val="single" w:sz="6" w:space="0" w:color="auto"/>
              <w:left w:val="nil"/>
              <w:bottom w:val="nil"/>
              <w:right w:val="nil"/>
            </w:tcBorders>
          </w:tcPr>
          <w:p w14:paraId="62F13078"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Total</w:t>
            </w:r>
          </w:p>
        </w:tc>
        <w:tc>
          <w:tcPr>
            <w:tcW w:w="2380" w:type="dxa"/>
            <w:tcBorders>
              <w:top w:val="single" w:sz="6" w:space="0" w:color="auto"/>
              <w:left w:val="dashed" w:sz="6" w:space="0" w:color="auto"/>
              <w:bottom w:val="nil"/>
              <w:right w:val="nil"/>
            </w:tcBorders>
          </w:tcPr>
          <w:p w14:paraId="59DD54CB"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0.038</w:t>
            </w:r>
          </w:p>
        </w:tc>
        <w:tc>
          <w:tcPr>
            <w:tcW w:w="1120" w:type="dxa"/>
            <w:tcBorders>
              <w:top w:val="single" w:sz="6" w:space="0" w:color="auto"/>
              <w:left w:val="nil"/>
              <w:bottom w:val="nil"/>
              <w:right w:val="nil"/>
            </w:tcBorders>
          </w:tcPr>
          <w:p w14:paraId="1B0ACA7D"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0.047</w:t>
            </w:r>
          </w:p>
        </w:tc>
        <w:tc>
          <w:tcPr>
            <w:tcW w:w="2100" w:type="dxa"/>
            <w:tcBorders>
              <w:top w:val="single" w:sz="6" w:space="0" w:color="auto"/>
              <w:left w:val="nil"/>
              <w:bottom w:val="nil"/>
              <w:right w:val="nil"/>
            </w:tcBorders>
          </w:tcPr>
          <w:p w14:paraId="0806CF9E"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-0.017</w:t>
            </w:r>
          </w:p>
        </w:tc>
        <w:tc>
          <w:tcPr>
            <w:tcW w:w="1120" w:type="dxa"/>
            <w:tcBorders>
              <w:top w:val="single" w:sz="6" w:space="0" w:color="auto"/>
              <w:left w:val="nil"/>
              <w:bottom w:val="nil"/>
              <w:right w:val="nil"/>
            </w:tcBorders>
          </w:tcPr>
          <w:p w14:paraId="08578857"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r>
      <w:tr w:rsidR="005576E1" w:rsidRPr="005576E1" w14:paraId="385368A0" w14:textId="77777777" w:rsidTr="00E23A10">
        <w:trPr>
          <w:jc w:val="center"/>
        </w:trPr>
        <w:tc>
          <w:tcPr>
            <w:tcW w:w="5180" w:type="dxa"/>
            <w:tcBorders>
              <w:top w:val="nil"/>
              <w:left w:val="nil"/>
              <w:bottom w:val="nil"/>
              <w:right w:val="nil"/>
            </w:tcBorders>
          </w:tcPr>
          <w:p w14:paraId="68885496"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5121DFC0"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(0.055)</w:t>
            </w:r>
          </w:p>
        </w:tc>
        <w:tc>
          <w:tcPr>
            <w:tcW w:w="1120" w:type="dxa"/>
            <w:tcBorders>
              <w:top w:val="nil"/>
              <w:left w:val="nil"/>
              <w:bottom w:val="nil"/>
              <w:right w:val="nil"/>
            </w:tcBorders>
          </w:tcPr>
          <w:p w14:paraId="1B9199C0"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(0.051)</w:t>
            </w:r>
          </w:p>
        </w:tc>
        <w:tc>
          <w:tcPr>
            <w:tcW w:w="2100" w:type="dxa"/>
            <w:tcBorders>
              <w:top w:val="nil"/>
              <w:left w:val="nil"/>
              <w:bottom w:val="nil"/>
              <w:right w:val="nil"/>
            </w:tcBorders>
          </w:tcPr>
          <w:p w14:paraId="3BC41BCA"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(0.049)</w:t>
            </w:r>
          </w:p>
        </w:tc>
        <w:tc>
          <w:tcPr>
            <w:tcW w:w="1120" w:type="dxa"/>
            <w:tcBorders>
              <w:top w:val="nil"/>
              <w:left w:val="nil"/>
              <w:bottom w:val="nil"/>
              <w:right w:val="nil"/>
            </w:tcBorders>
          </w:tcPr>
          <w:p w14:paraId="6D6AE155"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(0.020)</w:t>
            </w:r>
          </w:p>
        </w:tc>
      </w:tr>
      <w:tr w:rsidR="005576E1" w:rsidRPr="005576E1" w14:paraId="3996469A" w14:textId="77777777" w:rsidTr="00E23A10">
        <w:trPr>
          <w:jc w:val="center"/>
        </w:trPr>
        <w:tc>
          <w:tcPr>
            <w:tcW w:w="5180" w:type="dxa"/>
            <w:tcBorders>
              <w:top w:val="nil"/>
              <w:left w:val="nil"/>
              <w:bottom w:val="nil"/>
              <w:right w:val="nil"/>
            </w:tcBorders>
          </w:tcPr>
          <w:p w14:paraId="72E18795"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Manufacturing</w:t>
            </w:r>
          </w:p>
        </w:tc>
        <w:tc>
          <w:tcPr>
            <w:tcW w:w="2380" w:type="dxa"/>
            <w:tcBorders>
              <w:top w:val="nil"/>
              <w:left w:val="dashed" w:sz="6" w:space="0" w:color="auto"/>
              <w:bottom w:val="nil"/>
              <w:right w:val="nil"/>
            </w:tcBorders>
          </w:tcPr>
          <w:p w14:paraId="511B4794"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-0.315</w:t>
            </w:r>
          </w:p>
        </w:tc>
        <w:tc>
          <w:tcPr>
            <w:tcW w:w="1120" w:type="dxa"/>
            <w:tcBorders>
              <w:top w:val="nil"/>
              <w:left w:val="nil"/>
              <w:bottom w:val="nil"/>
              <w:right w:val="nil"/>
            </w:tcBorders>
          </w:tcPr>
          <w:p w14:paraId="1E95DAB3"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-0.300</w:t>
            </w:r>
          </w:p>
        </w:tc>
        <w:tc>
          <w:tcPr>
            <w:tcW w:w="2100" w:type="dxa"/>
            <w:tcBorders>
              <w:top w:val="nil"/>
              <w:left w:val="nil"/>
              <w:bottom w:val="nil"/>
              <w:right w:val="nil"/>
            </w:tcBorders>
          </w:tcPr>
          <w:p w14:paraId="75F3C803"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-0.018</w:t>
            </w:r>
          </w:p>
        </w:tc>
        <w:tc>
          <w:tcPr>
            <w:tcW w:w="1120" w:type="dxa"/>
            <w:tcBorders>
              <w:top w:val="nil"/>
              <w:left w:val="nil"/>
              <w:bottom w:val="nil"/>
              <w:right w:val="nil"/>
            </w:tcBorders>
          </w:tcPr>
          <w:p w14:paraId="244D03C4"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-0.000</w:t>
            </w:r>
          </w:p>
        </w:tc>
      </w:tr>
      <w:tr w:rsidR="005576E1" w:rsidRPr="005576E1" w14:paraId="320A35DC" w14:textId="77777777" w:rsidTr="00E23A10">
        <w:trPr>
          <w:jc w:val="center"/>
        </w:trPr>
        <w:tc>
          <w:tcPr>
            <w:tcW w:w="5180" w:type="dxa"/>
            <w:tcBorders>
              <w:top w:val="nil"/>
              <w:left w:val="nil"/>
              <w:bottom w:val="nil"/>
              <w:right w:val="nil"/>
            </w:tcBorders>
          </w:tcPr>
          <w:p w14:paraId="551F57F6"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2E7E664A"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(0.157)</w:t>
            </w:r>
          </w:p>
        </w:tc>
        <w:tc>
          <w:tcPr>
            <w:tcW w:w="1120" w:type="dxa"/>
            <w:tcBorders>
              <w:top w:val="nil"/>
              <w:left w:val="nil"/>
              <w:bottom w:val="nil"/>
              <w:right w:val="nil"/>
            </w:tcBorders>
          </w:tcPr>
          <w:p w14:paraId="4226EA44"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(0.159)</w:t>
            </w:r>
          </w:p>
        </w:tc>
        <w:tc>
          <w:tcPr>
            <w:tcW w:w="2100" w:type="dxa"/>
            <w:tcBorders>
              <w:top w:val="nil"/>
              <w:left w:val="nil"/>
              <w:bottom w:val="nil"/>
              <w:right w:val="nil"/>
            </w:tcBorders>
          </w:tcPr>
          <w:p w14:paraId="69F6142F"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(0.109)</w:t>
            </w:r>
          </w:p>
        </w:tc>
        <w:tc>
          <w:tcPr>
            <w:tcW w:w="1120" w:type="dxa"/>
            <w:tcBorders>
              <w:top w:val="nil"/>
              <w:left w:val="nil"/>
              <w:bottom w:val="nil"/>
              <w:right w:val="nil"/>
            </w:tcBorders>
          </w:tcPr>
          <w:p w14:paraId="207134FB"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(0.048)</w:t>
            </w:r>
          </w:p>
        </w:tc>
      </w:tr>
      <w:tr w:rsidR="005576E1" w:rsidRPr="005576E1" w14:paraId="12B47F39" w14:textId="77777777" w:rsidTr="00E23A10">
        <w:trPr>
          <w:jc w:val="center"/>
        </w:trPr>
        <w:tc>
          <w:tcPr>
            <w:tcW w:w="5180" w:type="dxa"/>
            <w:tcBorders>
              <w:top w:val="nil"/>
              <w:left w:val="nil"/>
              <w:bottom w:val="nil"/>
              <w:right w:val="nil"/>
            </w:tcBorders>
          </w:tcPr>
          <w:p w14:paraId="4CC106FF"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Retail</w:t>
            </w:r>
          </w:p>
        </w:tc>
        <w:tc>
          <w:tcPr>
            <w:tcW w:w="2380" w:type="dxa"/>
            <w:tcBorders>
              <w:top w:val="nil"/>
              <w:left w:val="dashed" w:sz="6" w:space="0" w:color="auto"/>
              <w:bottom w:val="nil"/>
              <w:right w:val="nil"/>
            </w:tcBorders>
          </w:tcPr>
          <w:p w14:paraId="243648D1"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0.114</w:t>
            </w:r>
          </w:p>
        </w:tc>
        <w:tc>
          <w:tcPr>
            <w:tcW w:w="1120" w:type="dxa"/>
            <w:tcBorders>
              <w:top w:val="nil"/>
              <w:left w:val="nil"/>
              <w:bottom w:val="nil"/>
              <w:right w:val="nil"/>
            </w:tcBorders>
          </w:tcPr>
          <w:p w14:paraId="51944E25"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0.142</w:t>
            </w:r>
          </w:p>
        </w:tc>
        <w:tc>
          <w:tcPr>
            <w:tcW w:w="2100" w:type="dxa"/>
            <w:tcBorders>
              <w:top w:val="nil"/>
              <w:left w:val="nil"/>
              <w:bottom w:val="nil"/>
              <w:right w:val="nil"/>
            </w:tcBorders>
          </w:tcPr>
          <w:p w14:paraId="4186C193"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-0.026</w:t>
            </w:r>
          </w:p>
        </w:tc>
        <w:tc>
          <w:tcPr>
            <w:tcW w:w="1120" w:type="dxa"/>
            <w:tcBorders>
              <w:top w:val="nil"/>
              <w:left w:val="nil"/>
              <w:bottom w:val="nil"/>
              <w:right w:val="nil"/>
            </w:tcBorders>
          </w:tcPr>
          <w:p w14:paraId="69BCFFF6"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-0.014</w:t>
            </w:r>
          </w:p>
        </w:tc>
      </w:tr>
      <w:tr w:rsidR="005576E1" w:rsidRPr="005576E1" w14:paraId="244EB3BA" w14:textId="77777777" w:rsidTr="00E23A10">
        <w:trPr>
          <w:jc w:val="center"/>
        </w:trPr>
        <w:tc>
          <w:tcPr>
            <w:tcW w:w="5180" w:type="dxa"/>
            <w:tcBorders>
              <w:top w:val="nil"/>
              <w:left w:val="nil"/>
              <w:bottom w:val="nil"/>
              <w:right w:val="nil"/>
            </w:tcBorders>
          </w:tcPr>
          <w:p w14:paraId="3181750A"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4E73D779"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(0.119)</w:t>
            </w:r>
          </w:p>
        </w:tc>
        <w:tc>
          <w:tcPr>
            <w:tcW w:w="1120" w:type="dxa"/>
            <w:tcBorders>
              <w:top w:val="nil"/>
              <w:left w:val="nil"/>
              <w:bottom w:val="nil"/>
              <w:right w:val="nil"/>
            </w:tcBorders>
          </w:tcPr>
          <w:p w14:paraId="4D1E2ACD"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(0.113)</w:t>
            </w:r>
          </w:p>
        </w:tc>
        <w:tc>
          <w:tcPr>
            <w:tcW w:w="2100" w:type="dxa"/>
            <w:tcBorders>
              <w:top w:val="nil"/>
              <w:left w:val="nil"/>
              <w:bottom w:val="nil"/>
              <w:right w:val="nil"/>
            </w:tcBorders>
          </w:tcPr>
          <w:p w14:paraId="195CDF41"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(0.078)</w:t>
            </w:r>
          </w:p>
        </w:tc>
        <w:tc>
          <w:tcPr>
            <w:tcW w:w="1120" w:type="dxa"/>
            <w:tcBorders>
              <w:top w:val="nil"/>
              <w:left w:val="nil"/>
              <w:bottom w:val="nil"/>
              <w:right w:val="nil"/>
            </w:tcBorders>
          </w:tcPr>
          <w:p w14:paraId="1AED7FDB"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(0.033)</w:t>
            </w:r>
          </w:p>
        </w:tc>
      </w:tr>
      <w:tr w:rsidR="005576E1" w:rsidRPr="005576E1" w14:paraId="1CA7296D" w14:textId="77777777" w:rsidTr="00E23A10">
        <w:trPr>
          <w:jc w:val="center"/>
        </w:trPr>
        <w:tc>
          <w:tcPr>
            <w:tcW w:w="5180" w:type="dxa"/>
            <w:tcBorders>
              <w:top w:val="nil"/>
              <w:left w:val="nil"/>
              <w:bottom w:val="nil"/>
              <w:right w:val="nil"/>
            </w:tcBorders>
          </w:tcPr>
          <w:p w14:paraId="7A519EC3"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Services</w:t>
            </w:r>
          </w:p>
        </w:tc>
        <w:tc>
          <w:tcPr>
            <w:tcW w:w="2380" w:type="dxa"/>
            <w:tcBorders>
              <w:top w:val="nil"/>
              <w:left w:val="dashed" w:sz="6" w:space="0" w:color="auto"/>
              <w:bottom w:val="nil"/>
              <w:right w:val="nil"/>
            </w:tcBorders>
          </w:tcPr>
          <w:p w14:paraId="2844A7E3"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0.120</w:t>
            </w:r>
          </w:p>
        </w:tc>
        <w:tc>
          <w:tcPr>
            <w:tcW w:w="1120" w:type="dxa"/>
            <w:tcBorders>
              <w:top w:val="nil"/>
              <w:left w:val="nil"/>
              <w:bottom w:val="nil"/>
              <w:right w:val="nil"/>
            </w:tcBorders>
          </w:tcPr>
          <w:p w14:paraId="6CE96B7B"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0.097</w:t>
            </w:r>
          </w:p>
        </w:tc>
        <w:tc>
          <w:tcPr>
            <w:tcW w:w="2100" w:type="dxa"/>
            <w:tcBorders>
              <w:top w:val="nil"/>
              <w:left w:val="nil"/>
              <w:bottom w:val="nil"/>
              <w:right w:val="nil"/>
            </w:tcBorders>
          </w:tcPr>
          <w:p w14:paraId="51CD3A7B"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0.004</w:t>
            </w:r>
          </w:p>
        </w:tc>
        <w:tc>
          <w:tcPr>
            <w:tcW w:w="1120" w:type="dxa"/>
            <w:tcBorders>
              <w:top w:val="nil"/>
              <w:left w:val="nil"/>
              <w:bottom w:val="nil"/>
              <w:right w:val="nil"/>
            </w:tcBorders>
          </w:tcPr>
          <w:p w14:paraId="494950A2"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-0.003</w:t>
            </w:r>
          </w:p>
        </w:tc>
      </w:tr>
      <w:tr w:rsidR="005576E1" w:rsidRPr="005576E1" w14:paraId="04CECA8D" w14:textId="77777777" w:rsidTr="00E23A10">
        <w:trPr>
          <w:jc w:val="center"/>
        </w:trPr>
        <w:tc>
          <w:tcPr>
            <w:tcW w:w="5180" w:type="dxa"/>
            <w:tcBorders>
              <w:top w:val="nil"/>
              <w:left w:val="nil"/>
              <w:bottom w:val="nil"/>
              <w:right w:val="nil"/>
            </w:tcBorders>
          </w:tcPr>
          <w:p w14:paraId="53ECF48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446D5574"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(0.079)</w:t>
            </w:r>
          </w:p>
        </w:tc>
        <w:tc>
          <w:tcPr>
            <w:tcW w:w="1120" w:type="dxa"/>
            <w:tcBorders>
              <w:top w:val="nil"/>
              <w:left w:val="nil"/>
              <w:bottom w:val="nil"/>
              <w:right w:val="nil"/>
            </w:tcBorders>
          </w:tcPr>
          <w:p w14:paraId="31741364"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(0.072)</w:t>
            </w:r>
          </w:p>
        </w:tc>
        <w:tc>
          <w:tcPr>
            <w:tcW w:w="2100" w:type="dxa"/>
            <w:tcBorders>
              <w:top w:val="nil"/>
              <w:left w:val="nil"/>
              <w:bottom w:val="nil"/>
              <w:right w:val="nil"/>
            </w:tcBorders>
          </w:tcPr>
          <w:p w14:paraId="4D18AB69"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(0.067)</w:t>
            </w:r>
          </w:p>
        </w:tc>
        <w:tc>
          <w:tcPr>
            <w:tcW w:w="1120" w:type="dxa"/>
            <w:tcBorders>
              <w:top w:val="nil"/>
              <w:left w:val="nil"/>
              <w:bottom w:val="nil"/>
              <w:right w:val="nil"/>
            </w:tcBorders>
          </w:tcPr>
          <w:p w14:paraId="4674AAF1"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(0.026)</w:t>
            </w:r>
          </w:p>
        </w:tc>
      </w:tr>
      <w:tr w:rsidR="005576E1" w:rsidRPr="005576E1" w14:paraId="35284662" w14:textId="77777777" w:rsidTr="00E23A10">
        <w:trPr>
          <w:jc w:val="center"/>
        </w:trPr>
        <w:tc>
          <w:tcPr>
            <w:tcW w:w="5180" w:type="dxa"/>
            <w:tcBorders>
              <w:top w:val="nil"/>
              <w:left w:val="nil"/>
              <w:bottom w:val="nil"/>
              <w:right w:val="nil"/>
            </w:tcBorders>
          </w:tcPr>
          <w:p w14:paraId="0C3D4563"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Total</w:t>
            </w:r>
          </w:p>
        </w:tc>
        <w:tc>
          <w:tcPr>
            <w:tcW w:w="2380" w:type="dxa"/>
            <w:tcBorders>
              <w:top w:val="nil"/>
              <w:left w:val="dashed" w:sz="6" w:space="0" w:color="auto"/>
              <w:bottom w:val="nil"/>
              <w:right w:val="nil"/>
            </w:tcBorders>
          </w:tcPr>
          <w:p w14:paraId="259BA95A"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0.027</w:t>
            </w:r>
          </w:p>
        </w:tc>
        <w:tc>
          <w:tcPr>
            <w:tcW w:w="1120" w:type="dxa"/>
            <w:tcBorders>
              <w:top w:val="nil"/>
              <w:left w:val="nil"/>
              <w:bottom w:val="nil"/>
              <w:right w:val="nil"/>
            </w:tcBorders>
          </w:tcPr>
          <w:p w14:paraId="5FBCB8FC"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0.050</w:t>
            </w:r>
          </w:p>
        </w:tc>
        <w:tc>
          <w:tcPr>
            <w:tcW w:w="2100" w:type="dxa"/>
            <w:tcBorders>
              <w:top w:val="nil"/>
              <w:left w:val="nil"/>
              <w:bottom w:val="nil"/>
              <w:right w:val="nil"/>
            </w:tcBorders>
          </w:tcPr>
          <w:p w14:paraId="66118CD6"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0.013</w:t>
            </w:r>
          </w:p>
        </w:tc>
        <w:tc>
          <w:tcPr>
            <w:tcW w:w="1120" w:type="dxa"/>
            <w:tcBorders>
              <w:top w:val="nil"/>
              <w:left w:val="nil"/>
              <w:bottom w:val="nil"/>
              <w:right w:val="nil"/>
            </w:tcBorders>
          </w:tcPr>
          <w:p w14:paraId="4A54E028"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0.017</w:t>
            </w:r>
          </w:p>
        </w:tc>
      </w:tr>
      <w:tr w:rsidR="005576E1" w:rsidRPr="005576E1" w14:paraId="70111667" w14:textId="77777777" w:rsidTr="00E23A10">
        <w:trPr>
          <w:jc w:val="center"/>
        </w:trPr>
        <w:tc>
          <w:tcPr>
            <w:tcW w:w="5180" w:type="dxa"/>
            <w:tcBorders>
              <w:top w:val="nil"/>
              <w:left w:val="nil"/>
              <w:bottom w:val="nil"/>
              <w:right w:val="nil"/>
            </w:tcBorders>
          </w:tcPr>
          <w:p w14:paraId="6520EDFF"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3B574C05"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(0.063)</w:t>
            </w:r>
          </w:p>
        </w:tc>
        <w:tc>
          <w:tcPr>
            <w:tcW w:w="1120" w:type="dxa"/>
            <w:tcBorders>
              <w:top w:val="nil"/>
              <w:left w:val="nil"/>
              <w:bottom w:val="nil"/>
              <w:right w:val="nil"/>
            </w:tcBorders>
          </w:tcPr>
          <w:p w14:paraId="1F0C2360"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(0.058)</w:t>
            </w:r>
          </w:p>
        </w:tc>
        <w:tc>
          <w:tcPr>
            <w:tcW w:w="2100" w:type="dxa"/>
            <w:tcBorders>
              <w:top w:val="nil"/>
              <w:left w:val="nil"/>
              <w:bottom w:val="nil"/>
              <w:right w:val="nil"/>
            </w:tcBorders>
          </w:tcPr>
          <w:p w14:paraId="2FB5DF43"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(0.055)</w:t>
            </w:r>
          </w:p>
        </w:tc>
        <w:tc>
          <w:tcPr>
            <w:tcW w:w="1120" w:type="dxa"/>
            <w:tcBorders>
              <w:top w:val="nil"/>
              <w:left w:val="nil"/>
              <w:bottom w:val="nil"/>
              <w:right w:val="nil"/>
            </w:tcBorders>
          </w:tcPr>
          <w:p w14:paraId="6F42C875"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(0.024)</w:t>
            </w:r>
          </w:p>
        </w:tc>
      </w:tr>
      <w:tr w:rsidR="005576E1" w:rsidRPr="005576E1" w14:paraId="644A3B13" w14:textId="77777777" w:rsidTr="00E23A10">
        <w:trPr>
          <w:jc w:val="center"/>
        </w:trPr>
        <w:tc>
          <w:tcPr>
            <w:tcW w:w="5180" w:type="dxa"/>
            <w:tcBorders>
              <w:top w:val="nil"/>
              <w:left w:val="nil"/>
              <w:bottom w:val="nil"/>
              <w:right w:val="nil"/>
            </w:tcBorders>
          </w:tcPr>
          <w:p w14:paraId="5A956ED1"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Manufacturing</w:t>
            </w:r>
          </w:p>
        </w:tc>
        <w:tc>
          <w:tcPr>
            <w:tcW w:w="2380" w:type="dxa"/>
            <w:tcBorders>
              <w:top w:val="nil"/>
              <w:left w:val="dashed" w:sz="6" w:space="0" w:color="auto"/>
              <w:bottom w:val="nil"/>
              <w:right w:val="nil"/>
            </w:tcBorders>
          </w:tcPr>
          <w:p w14:paraId="31C93C71"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-0.304</w:t>
            </w:r>
          </w:p>
        </w:tc>
        <w:tc>
          <w:tcPr>
            <w:tcW w:w="1120" w:type="dxa"/>
            <w:tcBorders>
              <w:top w:val="nil"/>
              <w:left w:val="nil"/>
              <w:bottom w:val="nil"/>
              <w:right w:val="nil"/>
            </w:tcBorders>
          </w:tcPr>
          <w:p w14:paraId="10207FD7"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-0.313</w:t>
            </w:r>
          </w:p>
        </w:tc>
        <w:tc>
          <w:tcPr>
            <w:tcW w:w="2100" w:type="dxa"/>
            <w:tcBorders>
              <w:top w:val="nil"/>
              <w:left w:val="nil"/>
              <w:bottom w:val="nil"/>
              <w:right w:val="nil"/>
            </w:tcBorders>
          </w:tcPr>
          <w:p w14:paraId="49D504D7"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1120" w:type="dxa"/>
            <w:tcBorders>
              <w:top w:val="nil"/>
              <w:left w:val="nil"/>
              <w:bottom w:val="nil"/>
              <w:right w:val="nil"/>
            </w:tcBorders>
          </w:tcPr>
          <w:p w14:paraId="0C278C9E"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0.014</w:t>
            </w:r>
          </w:p>
        </w:tc>
      </w:tr>
      <w:tr w:rsidR="005576E1" w:rsidRPr="005576E1" w14:paraId="5EF6F669" w14:textId="77777777" w:rsidTr="00E23A10">
        <w:trPr>
          <w:jc w:val="center"/>
        </w:trPr>
        <w:tc>
          <w:tcPr>
            <w:tcW w:w="5180" w:type="dxa"/>
            <w:tcBorders>
              <w:top w:val="nil"/>
              <w:left w:val="nil"/>
              <w:bottom w:val="nil"/>
              <w:right w:val="nil"/>
            </w:tcBorders>
          </w:tcPr>
          <w:p w14:paraId="0EC93227"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5795CB5F"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(0.169)</w:t>
            </w:r>
          </w:p>
        </w:tc>
        <w:tc>
          <w:tcPr>
            <w:tcW w:w="1120" w:type="dxa"/>
            <w:tcBorders>
              <w:top w:val="nil"/>
              <w:left w:val="nil"/>
              <w:bottom w:val="nil"/>
              <w:right w:val="nil"/>
            </w:tcBorders>
          </w:tcPr>
          <w:p w14:paraId="28A7E71C"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(0.176)</w:t>
            </w:r>
          </w:p>
        </w:tc>
        <w:tc>
          <w:tcPr>
            <w:tcW w:w="2100" w:type="dxa"/>
            <w:tcBorders>
              <w:top w:val="nil"/>
              <w:left w:val="nil"/>
              <w:bottom w:val="nil"/>
              <w:right w:val="nil"/>
            </w:tcBorders>
          </w:tcPr>
          <w:p w14:paraId="4C59F0B7"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(0.129)</w:t>
            </w:r>
          </w:p>
        </w:tc>
        <w:tc>
          <w:tcPr>
            <w:tcW w:w="1120" w:type="dxa"/>
            <w:tcBorders>
              <w:top w:val="nil"/>
              <w:left w:val="nil"/>
              <w:bottom w:val="nil"/>
              <w:right w:val="nil"/>
            </w:tcBorders>
          </w:tcPr>
          <w:p w14:paraId="31748AA0"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(0.057)</w:t>
            </w:r>
          </w:p>
        </w:tc>
      </w:tr>
      <w:tr w:rsidR="005576E1" w:rsidRPr="005576E1" w14:paraId="19993E4C" w14:textId="77777777" w:rsidTr="00E23A10">
        <w:trPr>
          <w:jc w:val="center"/>
        </w:trPr>
        <w:tc>
          <w:tcPr>
            <w:tcW w:w="5180" w:type="dxa"/>
            <w:tcBorders>
              <w:top w:val="nil"/>
              <w:left w:val="nil"/>
              <w:bottom w:val="nil"/>
              <w:right w:val="nil"/>
            </w:tcBorders>
          </w:tcPr>
          <w:p w14:paraId="435815A0"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Retail</w:t>
            </w:r>
          </w:p>
        </w:tc>
        <w:tc>
          <w:tcPr>
            <w:tcW w:w="2380" w:type="dxa"/>
            <w:tcBorders>
              <w:top w:val="nil"/>
              <w:left w:val="dashed" w:sz="6" w:space="0" w:color="auto"/>
              <w:bottom w:val="nil"/>
              <w:right w:val="nil"/>
            </w:tcBorders>
          </w:tcPr>
          <w:p w14:paraId="25428227"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0.131</w:t>
            </w:r>
          </w:p>
        </w:tc>
        <w:tc>
          <w:tcPr>
            <w:tcW w:w="1120" w:type="dxa"/>
            <w:tcBorders>
              <w:top w:val="nil"/>
              <w:left w:val="nil"/>
              <w:bottom w:val="nil"/>
              <w:right w:val="nil"/>
            </w:tcBorders>
          </w:tcPr>
          <w:p w14:paraId="0387E2A5"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0.169</w:t>
            </w:r>
          </w:p>
        </w:tc>
        <w:tc>
          <w:tcPr>
            <w:tcW w:w="2100" w:type="dxa"/>
            <w:tcBorders>
              <w:top w:val="nil"/>
              <w:left w:val="nil"/>
              <w:bottom w:val="nil"/>
              <w:right w:val="nil"/>
            </w:tcBorders>
          </w:tcPr>
          <w:p w14:paraId="0F0E8A91"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-0.018</w:t>
            </w:r>
          </w:p>
        </w:tc>
        <w:tc>
          <w:tcPr>
            <w:tcW w:w="1120" w:type="dxa"/>
            <w:tcBorders>
              <w:top w:val="nil"/>
              <w:left w:val="nil"/>
              <w:bottom w:val="nil"/>
              <w:right w:val="nil"/>
            </w:tcBorders>
          </w:tcPr>
          <w:p w14:paraId="3BE6A01D"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r>
      <w:tr w:rsidR="005576E1" w:rsidRPr="005576E1" w14:paraId="30E0EA3A" w14:textId="77777777" w:rsidTr="00E23A10">
        <w:trPr>
          <w:jc w:val="center"/>
        </w:trPr>
        <w:tc>
          <w:tcPr>
            <w:tcW w:w="5180" w:type="dxa"/>
            <w:tcBorders>
              <w:top w:val="nil"/>
              <w:left w:val="nil"/>
              <w:bottom w:val="nil"/>
              <w:right w:val="nil"/>
            </w:tcBorders>
          </w:tcPr>
          <w:p w14:paraId="26F7A135"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04F03F8E"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(0.131)</w:t>
            </w:r>
          </w:p>
        </w:tc>
        <w:tc>
          <w:tcPr>
            <w:tcW w:w="1120" w:type="dxa"/>
            <w:tcBorders>
              <w:top w:val="nil"/>
              <w:left w:val="nil"/>
              <w:bottom w:val="nil"/>
              <w:right w:val="nil"/>
            </w:tcBorders>
          </w:tcPr>
          <w:p w14:paraId="0FC2E123"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(0.124)</w:t>
            </w:r>
          </w:p>
        </w:tc>
        <w:tc>
          <w:tcPr>
            <w:tcW w:w="2100" w:type="dxa"/>
            <w:tcBorders>
              <w:top w:val="nil"/>
              <w:left w:val="nil"/>
              <w:bottom w:val="nil"/>
              <w:right w:val="nil"/>
            </w:tcBorders>
          </w:tcPr>
          <w:p w14:paraId="4243B82F"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(0.091)</w:t>
            </w:r>
          </w:p>
        </w:tc>
        <w:tc>
          <w:tcPr>
            <w:tcW w:w="1120" w:type="dxa"/>
            <w:tcBorders>
              <w:top w:val="nil"/>
              <w:left w:val="nil"/>
              <w:bottom w:val="nil"/>
              <w:right w:val="nil"/>
            </w:tcBorders>
          </w:tcPr>
          <w:p w14:paraId="3AFDACF4"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(0.040)</w:t>
            </w:r>
          </w:p>
        </w:tc>
      </w:tr>
      <w:tr w:rsidR="005576E1" w:rsidRPr="005576E1" w14:paraId="790201FA" w14:textId="77777777" w:rsidTr="00E23A10">
        <w:trPr>
          <w:jc w:val="center"/>
        </w:trPr>
        <w:tc>
          <w:tcPr>
            <w:tcW w:w="5180" w:type="dxa"/>
            <w:tcBorders>
              <w:top w:val="nil"/>
              <w:left w:val="nil"/>
              <w:bottom w:val="nil"/>
              <w:right w:val="nil"/>
            </w:tcBorders>
          </w:tcPr>
          <w:p w14:paraId="3F8687E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Services</w:t>
            </w:r>
          </w:p>
        </w:tc>
        <w:tc>
          <w:tcPr>
            <w:tcW w:w="2380" w:type="dxa"/>
            <w:tcBorders>
              <w:top w:val="nil"/>
              <w:left w:val="dashed" w:sz="6" w:space="0" w:color="auto"/>
              <w:bottom w:val="nil"/>
              <w:right w:val="nil"/>
            </w:tcBorders>
          </w:tcPr>
          <w:p w14:paraId="271800FC"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0.142</w:t>
            </w:r>
          </w:p>
        </w:tc>
        <w:tc>
          <w:tcPr>
            <w:tcW w:w="1120" w:type="dxa"/>
            <w:tcBorders>
              <w:top w:val="nil"/>
              <w:left w:val="nil"/>
              <w:bottom w:val="nil"/>
              <w:right w:val="nil"/>
            </w:tcBorders>
          </w:tcPr>
          <w:p w14:paraId="5EEA7E24"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0.118</w:t>
            </w:r>
          </w:p>
        </w:tc>
        <w:tc>
          <w:tcPr>
            <w:tcW w:w="2100" w:type="dxa"/>
            <w:tcBorders>
              <w:top w:val="nil"/>
              <w:left w:val="nil"/>
              <w:bottom w:val="nil"/>
              <w:right w:val="nil"/>
            </w:tcBorders>
          </w:tcPr>
          <w:p w14:paraId="64F60690"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0.051</w:t>
            </w:r>
          </w:p>
        </w:tc>
        <w:tc>
          <w:tcPr>
            <w:tcW w:w="1120" w:type="dxa"/>
            <w:tcBorders>
              <w:top w:val="nil"/>
              <w:left w:val="nil"/>
              <w:bottom w:val="nil"/>
              <w:right w:val="nil"/>
            </w:tcBorders>
          </w:tcPr>
          <w:p w14:paraId="4D66BA33"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0.032</w:t>
            </w:r>
          </w:p>
        </w:tc>
      </w:tr>
      <w:tr w:rsidR="005576E1" w:rsidRPr="005576E1" w14:paraId="50DA9282" w14:textId="77777777" w:rsidTr="00E23A10">
        <w:trPr>
          <w:jc w:val="center"/>
        </w:trPr>
        <w:tc>
          <w:tcPr>
            <w:tcW w:w="5180" w:type="dxa"/>
            <w:tcBorders>
              <w:top w:val="nil"/>
              <w:left w:val="nil"/>
              <w:bottom w:val="nil"/>
              <w:right w:val="nil"/>
            </w:tcBorders>
          </w:tcPr>
          <w:p w14:paraId="5D12D0A6"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35DB61D2"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(0.085)</w:t>
            </w:r>
          </w:p>
        </w:tc>
        <w:tc>
          <w:tcPr>
            <w:tcW w:w="1120" w:type="dxa"/>
            <w:tcBorders>
              <w:top w:val="nil"/>
              <w:left w:val="nil"/>
              <w:bottom w:val="nil"/>
              <w:right w:val="nil"/>
            </w:tcBorders>
          </w:tcPr>
          <w:p w14:paraId="3C44963F"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(0.076)</w:t>
            </w:r>
          </w:p>
        </w:tc>
        <w:tc>
          <w:tcPr>
            <w:tcW w:w="2100" w:type="dxa"/>
            <w:tcBorders>
              <w:top w:val="nil"/>
              <w:left w:val="nil"/>
              <w:bottom w:val="nil"/>
              <w:right w:val="nil"/>
            </w:tcBorders>
          </w:tcPr>
          <w:p w14:paraId="2E44CA60"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(0.073)</w:t>
            </w:r>
          </w:p>
        </w:tc>
        <w:tc>
          <w:tcPr>
            <w:tcW w:w="1120" w:type="dxa"/>
            <w:tcBorders>
              <w:top w:val="nil"/>
              <w:left w:val="nil"/>
              <w:bottom w:val="nil"/>
              <w:right w:val="nil"/>
            </w:tcBorders>
          </w:tcPr>
          <w:p w14:paraId="20149666"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(0.031)</w:t>
            </w:r>
          </w:p>
        </w:tc>
      </w:tr>
      <w:tr w:rsidR="005576E1" w:rsidRPr="005576E1" w14:paraId="7A9C0127" w14:textId="77777777" w:rsidTr="00E23A10">
        <w:trPr>
          <w:jc w:val="center"/>
        </w:trPr>
        <w:tc>
          <w:tcPr>
            <w:tcW w:w="5180" w:type="dxa"/>
            <w:tcBorders>
              <w:top w:val="nil"/>
              <w:left w:val="nil"/>
              <w:bottom w:val="nil"/>
              <w:right w:val="nil"/>
            </w:tcBorders>
          </w:tcPr>
          <w:p w14:paraId="6C335BB1"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Total</w:t>
            </w:r>
          </w:p>
        </w:tc>
        <w:tc>
          <w:tcPr>
            <w:tcW w:w="2380" w:type="dxa"/>
            <w:tcBorders>
              <w:top w:val="nil"/>
              <w:left w:val="dashed" w:sz="6" w:space="0" w:color="auto"/>
              <w:bottom w:val="nil"/>
              <w:right w:val="nil"/>
            </w:tcBorders>
          </w:tcPr>
          <w:p w14:paraId="095186AC"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0.024</w:t>
            </w:r>
          </w:p>
        </w:tc>
        <w:tc>
          <w:tcPr>
            <w:tcW w:w="1120" w:type="dxa"/>
            <w:tcBorders>
              <w:top w:val="nil"/>
              <w:left w:val="nil"/>
              <w:bottom w:val="nil"/>
              <w:right w:val="nil"/>
            </w:tcBorders>
          </w:tcPr>
          <w:p w14:paraId="17A82138"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0.033</w:t>
            </w:r>
          </w:p>
        </w:tc>
        <w:tc>
          <w:tcPr>
            <w:tcW w:w="2100" w:type="dxa"/>
            <w:tcBorders>
              <w:top w:val="nil"/>
              <w:left w:val="nil"/>
              <w:bottom w:val="nil"/>
              <w:right w:val="nil"/>
            </w:tcBorders>
          </w:tcPr>
          <w:p w14:paraId="280F25AE"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-0.051</w:t>
            </w:r>
          </w:p>
        </w:tc>
        <w:tc>
          <w:tcPr>
            <w:tcW w:w="1120" w:type="dxa"/>
            <w:tcBorders>
              <w:top w:val="nil"/>
              <w:left w:val="nil"/>
              <w:bottom w:val="nil"/>
              <w:right w:val="nil"/>
            </w:tcBorders>
          </w:tcPr>
          <w:p w14:paraId="682550DC"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-0.022</w:t>
            </w:r>
          </w:p>
        </w:tc>
      </w:tr>
      <w:tr w:rsidR="005576E1" w:rsidRPr="005576E1" w14:paraId="7460DC5F" w14:textId="77777777" w:rsidTr="00E23A10">
        <w:trPr>
          <w:jc w:val="center"/>
        </w:trPr>
        <w:tc>
          <w:tcPr>
            <w:tcW w:w="5180" w:type="dxa"/>
            <w:tcBorders>
              <w:top w:val="nil"/>
              <w:left w:val="nil"/>
              <w:bottom w:val="nil"/>
              <w:right w:val="nil"/>
            </w:tcBorders>
          </w:tcPr>
          <w:p w14:paraId="4DE53153"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6CA2163D"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(0.061)</w:t>
            </w:r>
          </w:p>
        </w:tc>
        <w:tc>
          <w:tcPr>
            <w:tcW w:w="1120" w:type="dxa"/>
            <w:tcBorders>
              <w:top w:val="nil"/>
              <w:left w:val="nil"/>
              <w:bottom w:val="nil"/>
              <w:right w:val="nil"/>
            </w:tcBorders>
          </w:tcPr>
          <w:p w14:paraId="213C213E"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(0.055)</w:t>
            </w:r>
          </w:p>
        </w:tc>
        <w:tc>
          <w:tcPr>
            <w:tcW w:w="2100" w:type="dxa"/>
            <w:tcBorders>
              <w:top w:val="nil"/>
              <w:left w:val="nil"/>
              <w:bottom w:val="nil"/>
              <w:right w:val="nil"/>
            </w:tcBorders>
          </w:tcPr>
          <w:p w14:paraId="1AD3FD66"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(0.033)</w:t>
            </w:r>
          </w:p>
        </w:tc>
        <w:tc>
          <w:tcPr>
            <w:tcW w:w="1120" w:type="dxa"/>
            <w:tcBorders>
              <w:top w:val="nil"/>
              <w:left w:val="nil"/>
              <w:bottom w:val="nil"/>
              <w:right w:val="nil"/>
            </w:tcBorders>
          </w:tcPr>
          <w:p w14:paraId="51ACFC88"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(0.013)</w:t>
            </w:r>
          </w:p>
        </w:tc>
      </w:tr>
      <w:tr w:rsidR="005576E1" w:rsidRPr="005576E1" w14:paraId="77C058F4" w14:textId="77777777" w:rsidTr="00E23A10">
        <w:trPr>
          <w:jc w:val="center"/>
        </w:trPr>
        <w:tc>
          <w:tcPr>
            <w:tcW w:w="5180" w:type="dxa"/>
            <w:tcBorders>
              <w:top w:val="nil"/>
              <w:left w:val="nil"/>
              <w:bottom w:val="nil"/>
              <w:right w:val="nil"/>
            </w:tcBorders>
          </w:tcPr>
          <w:p w14:paraId="42F32917"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Manufacturing</w:t>
            </w:r>
          </w:p>
        </w:tc>
        <w:tc>
          <w:tcPr>
            <w:tcW w:w="2380" w:type="dxa"/>
            <w:tcBorders>
              <w:top w:val="nil"/>
              <w:left w:val="dashed" w:sz="6" w:space="0" w:color="auto"/>
              <w:bottom w:val="nil"/>
              <w:right w:val="nil"/>
            </w:tcBorders>
          </w:tcPr>
          <w:p w14:paraId="057C2582"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-0.068</w:t>
            </w:r>
          </w:p>
        </w:tc>
        <w:tc>
          <w:tcPr>
            <w:tcW w:w="1120" w:type="dxa"/>
            <w:tcBorders>
              <w:top w:val="nil"/>
              <w:left w:val="nil"/>
              <w:bottom w:val="nil"/>
              <w:right w:val="nil"/>
            </w:tcBorders>
          </w:tcPr>
          <w:p w14:paraId="06B7B104"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-0.072</w:t>
            </w:r>
          </w:p>
        </w:tc>
        <w:tc>
          <w:tcPr>
            <w:tcW w:w="2100" w:type="dxa"/>
            <w:tcBorders>
              <w:top w:val="nil"/>
              <w:left w:val="nil"/>
              <w:bottom w:val="nil"/>
              <w:right w:val="nil"/>
            </w:tcBorders>
          </w:tcPr>
          <w:p w14:paraId="500E9030"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-0.080</w:t>
            </w:r>
          </w:p>
        </w:tc>
        <w:tc>
          <w:tcPr>
            <w:tcW w:w="1120" w:type="dxa"/>
            <w:tcBorders>
              <w:top w:val="nil"/>
              <w:left w:val="nil"/>
              <w:bottom w:val="nil"/>
              <w:right w:val="nil"/>
            </w:tcBorders>
          </w:tcPr>
          <w:p w14:paraId="59BE61F2"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-0.069**</w:t>
            </w:r>
          </w:p>
        </w:tc>
      </w:tr>
      <w:tr w:rsidR="005576E1" w:rsidRPr="005576E1" w14:paraId="205FD86C" w14:textId="77777777" w:rsidTr="00E23A10">
        <w:trPr>
          <w:jc w:val="center"/>
        </w:trPr>
        <w:tc>
          <w:tcPr>
            <w:tcW w:w="5180" w:type="dxa"/>
            <w:tcBorders>
              <w:top w:val="nil"/>
              <w:left w:val="nil"/>
              <w:bottom w:val="nil"/>
              <w:right w:val="nil"/>
            </w:tcBorders>
          </w:tcPr>
          <w:p w14:paraId="292172E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03415E30"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(0.064)</w:t>
            </w:r>
          </w:p>
        </w:tc>
        <w:tc>
          <w:tcPr>
            <w:tcW w:w="1120" w:type="dxa"/>
            <w:tcBorders>
              <w:top w:val="nil"/>
              <w:left w:val="nil"/>
              <w:bottom w:val="nil"/>
              <w:right w:val="nil"/>
            </w:tcBorders>
          </w:tcPr>
          <w:p w14:paraId="7DC7043E"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(0.064)</w:t>
            </w:r>
          </w:p>
        </w:tc>
        <w:tc>
          <w:tcPr>
            <w:tcW w:w="2100" w:type="dxa"/>
            <w:tcBorders>
              <w:top w:val="nil"/>
              <w:left w:val="nil"/>
              <w:bottom w:val="nil"/>
              <w:right w:val="nil"/>
            </w:tcBorders>
          </w:tcPr>
          <w:p w14:paraId="56FAB031"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(0.054)</w:t>
            </w:r>
          </w:p>
        </w:tc>
        <w:tc>
          <w:tcPr>
            <w:tcW w:w="1120" w:type="dxa"/>
            <w:tcBorders>
              <w:top w:val="nil"/>
              <w:left w:val="nil"/>
              <w:bottom w:val="nil"/>
              <w:right w:val="nil"/>
            </w:tcBorders>
          </w:tcPr>
          <w:p w14:paraId="6A462755"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(0.023)</w:t>
            </w:r>
          </w:p>
        </w:tc>
      </w:tr>
      <w:tr w:rsidR="005576E1" w:rsidRPr="005576E1" w14:paraId="14BFA1C2" w14:textId="77777777" w:rsidTr="00E23A10">
        <w:trPr>
          <w:jc w:val="center"/>
        </w:trPr>
        <w:tc>
          <w:tcPr>
            <w:tcW w:w="5180" w:type="dxa"/>
            <w:tcBorders>
              <w:top w:val="nil"/>
              <w:left w:val="nil"/>
              <w:bottom w:val="nil"/>
              <w:right w:val="nil"/>
            </w:tcBorders>
          </w:tcPr>
          <w:p w14:paraId="17FE7A55"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Retail</w:t>
            </w:r>
          </w:p>
        </w:tc>
        <w:tc>
          <w:tcPr>
            <w:tcW w:w="2380" w:type="dxa"/>
            <w:tcBorders>
              <w:top w:val="nil"/>
              <w:left w:val="dashed" w:sz="6" w:space="0" w:color="auto"/>
              <w:bottom w:val="nil"/>
              <w:right w:val="nil"/>
            </w:tcBorders>
          </w:tcPr>
          <w:p w14:paraId="18A7D337"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0.040</w:t>
            </w:r>
          </w:p>
        </w:tc>
        <w:tc>
          <w:tcPr>
            <w:tcW w:w="1120" w:type="dxa"/>
            <w:tcBorders>
              <w:top w:val="nil"/>
              <w:left w:val="nil"/>
              <w:bottom w:val="nil"/>
              <w:right w:val="nil"/>
            </w:tcBorders>
          </w:tcPr>
          <w:p w14:paraId="795EB1A1"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0.039</w:t>
            </w:r>
          </w:p>
        </w:tc>
        <w:tc>
          <w:tcPr>
            <w:tcW w:w="2100" w:type="dxa"/>
            <w:tcBorders>
              <w:top w:val="nil"/>
              <w:left w:val="nil"/>
              <w:bottom w:val="nil"/>
              <w:right w:val="nil"/>
            </w:tcBorders>
          </w:tcPr>
          <w:p w14:paraId="40D166B9"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-0.002</w:t>
            </w:r>
          </w:p>
        </w:tc>
        <w:tc>
          <w:tcPr>
            <w:tcW w:w="1120" w:type="dxa"/>
            <w:tcBorders>
              <w:top w:val="nil"/>
              <w:left w:val="nil"/>
              <w:bottom w:val="nil"/>
              <w:right w:val="nil"/>
            </w:tcBorders>
          </w:tcPr>
          <w:p w14:paraId="3C5E9D26"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r>
      <w:tr w:rsidR="005576E1" w:rsidRPr="005576E1" w14:paraId="343CB722" w14:textId="77777777" w:rsidTr="00E23A10">
        <w:trPr>
          <w:jc w:val="center"/>
        </w:trPr>
        <w:tc>
          <w:tcPr>
            <w:tcW w:w="5180" w:type="dxa"/>
            <w:tcBorders>
              <w:top w:val="nil"/>
              <w:left w:val="nil"/>
              <w:bottom w:val="nil"/>
              <w:right w:val="nil"/>
            </w:tcBorders>
          </w:tcPr>
          <w:p w14:paraId="16AD58FC"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nil"/>
              <w:right w:val="nil"/>
            </w:tcBorders>
          </w:tcPr>
          <w:p w14:paraId="133B764B"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(0.049)</w:t>
            </w:r>
          </w:p>
        </w:tc>
        <w:tc>
          <w:tcPr>
            <w:tcW w:w="1120" w:type="dxa"/>
            <w:tcBorders>
              <w:top w:val="nil"/>
              <w:left w:val="nil"/>
              <w:bottom w:val="nil"/>
              <w:right w:val="nil"/>
            </w:tcBorders>
          </w:tcPr>
          <w:p w14:paraId="6B35DE4E"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(0.039)</w:t>
            </w:r>
          </w:p>
        </w:tc>
        <w:tc>
          <w:tcPr>
            <w:tcW w:w="2100" w:type="dxa"/>
            <w:tcBorders>
              <w:top w:val="nil"/>
              <w:left w:val="nil"/>
              <w:bottom w:val="nil"/>
              <w:right w:val="nil"/>
            </w:tcBorders>
          </w:tcPr>
          <w:p w14:paraId="0C9E45FC"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(0.048)</w:t>
            </w:r>
          </w:p>
        </w:tc>
        <w:tc>
          <w:tcPr>
            <w:tcW w:w="1120" w:type="dxa"/>
            <w:tcBorders>
              <w:top w:val="nil"/>
              <w:left w:val="nil"/>
              <w:bottom w:val="nil"/>
              <w:right w:val="nil"/>
            </w:tcBorders>
          </w:tcPr>
          <w:p w14:paraId="2EEF7A8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(0.021)</w:t>
            </w:r>
          </w:p>
        </w:tc>
      </w:tr>
      <w:tr w:rsidR="005576E1" w:rsidRPr="005576E1" w14:paraId="3ED103A1" w14:textId="77777777" w:rsidTr="00E23A10">
        <w:trPr>
          <w:jc w:val="center"/>
        </w:trPr>
        <w:tc>
          <w:tcPr>
            <w:tcW w:w="5180" w:type="dxa"/>
            <w:tcBorders>
              <w:top w:val="nil"/>
              <w:left w:val="nil"/>
              <w:bottom w:val="nil"/>
              <w:right w:val="nil"/>
            </w:tcBorders>
          </w:tcPr>
          <w:p w14:paraId="184A5345"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Services</w:t>
            </w:r>
          </w:p>
        </w:tc>
        <w:tc>
          <w:tcPr>
            <w:tcW w:w="2380" w:type="dxa"/>
            <w:tcBorders>
              <w:top w:val="nil"/>
              <w:left w:val="dashed" w:sz="6" w:space="0" w:color="auto"/>
              <w:bottom w:val="nil"/>
              <w:right w:val="nil"/>
            </w:tcBorders>
          </w:tcPr>
          <w:p w14:paraId="76692F37"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0.031</w:t>
            </w:r>
          </w:p>
        </w:tc>
        <w:tc>
          <w:tcPr>
            <w:tcW w:w="1120" w:type="dxa"/>
            <w:tcBorders>
              <w:top w:val="nil"/>
              <w:left w:val="nil"/>
              <w:bottom w:val="nil"/>
              <w:right w:val="nil"/>
            </w:tcBorders>
          </w:tcPr>
          <w:p w14:paraId="3C45572D"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0.029</w:t>
            </w:r>
          </w:p>
        </w:tc>
        <w:tc>
          <w:tcPr>
            <w:tcW w:w="2100" w:type="dxa"/>
            <w:tcBorders>
              <w:top w:val="nil"/>
              <w:left w:val="nil"/>
              <w:bottom w:val="nil"/>
              <w:right w:val="nil"/>
            </w:tcBorders>
          </w:tcPr>
          <w:p w14:paraId="4B2E3F79"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-0.021</w:t>
            </w:r>
          </w:p>
        </w:tc>
        <w:tc>
          <w:tcPr>
            <w:tcW w:w="1120" w:type="dxa"/>
            <w:tcBorders>
              <w:top w:val="nil"/>
              <w:left w:val="nil"/>
              <w:bottom w:val="nil"/>
              <w:right w:val="nil"/>
            </w:tcBorders>
          </w:tcPr>
          <w:p w14:paraId="4845F4E6"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-0.009</w:t>
            </w:r>
          </w:p>
        </w:tc>
      </w:tr>
      <w:tr w:rsidR="005576E1" w:rsidRPr="005576E1" w14:paraId="6BC8FCA8" w14:textId="77777777" w:rsidTr="00E23A10">
        <w:trPr>
          <w:jc w:val="center"/>
        </w:trPr>
        <w:tc>
          <w:tcPr>
            <w:tcW w:w="5180" w:type="dxa"/>
            <w:tcBorders>
              <w:top w:val="nil"/>
              <w:left w:val="nil"/>
              <w:bottom w:val="single" w:sz="6" w:space="0" w:color="auto"/>
              <w:right w:val="nil"/>
            </w:tcBorders>
          </w:tcPr>
          <w:p w14:paraId="73851CCA"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380" w:type="dxa"/>
            <w:tcBorders>
              <w:top w:val="nil"/>
              <w:left w:val="dashed" w:sz="6" w:space="0" w:color="auto"/>
              <w:bottom w:val="single" w:sz="6" w:space="0" w:color="auto"/>
              <w:right w:val="nil"/>
            </w:tcBorders>
          </w:tcPr>
          <w:p w14:paraId="54AE6166" w14:textId="77777777" w:rsidR="0067022B" w:rsidRPr="005576E1" w:rsidRDefault="0067022B" w:rsidP="005576E1">
            <w:pPr>
              <w:widowControl w:val="0"/>
              <w:tabs>
                <w:tab w:val="decimal" w:pos="101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(0.063)</w:t>
            </w:r>
          </w:p>
        </w:tc>
        <w:tc>
          <w:tcPr>
            <w:tcW w:w="1120" w:type="dxa"/>
            <w:tcBorders>
              <w:top w:val="nil"/>
              <w:left w:val="nil"/>
              <w:bottom w:val="single" w:sz="6" w:space="0" w:color="auto"/>
              <w:right w:val="nil"/>
            </w:tcBorders>
          </w:tcPr>
          <w:p w14:paraId="40DB752C" w14:textId="77777777" w:rsidR="0067022B" w:rsidRPr="005576E1" w:rsidRDefault="0067022B" w:rsidP="005576E1">
            <w:pPr>
              <w:widowControl w:val="0"/>
              <w:tabs>
                <w:tab w:val="decimal" w:pos="505"/>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(0.058)</w:t>
            </w:r>
          </w:p>
        </w:tc>
        <w:tc>
          <w:tcPr>
            <w:tcW w:w="2100" w:type="dxa"/>
            <w:tcBorders>
              <w:top w:val="nil"/>
              <w:left w:val="nil"/>
              <w:bottom w:val="single" w:sz="6" w:space="0" w:color="auto"/>
              <w:right w:val="nil"/>
            </w:tcBorders>
          </w:tcPr>
          <w:p w14:paraId="3E2B0123" w14:textId="77777777" w:rsidR="0067022B" w:rsidRPr="005576E1" w:rsidRDefault="0067022B" w:rsidP="005576E1">
            <w:pPr>
              <w:widowControl w:val="0"/>
              <w:tabs>
                <w:tab w:val="decimal" w:pos="904"/>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(0.039)</w:t>
            </w:r>
          </w:p>
        </w:tc>
        <w:tc>
          <w:tcPr>
            <w:tcW w:w="1120" w:type="dxa"/>
            <w:tcBorders>
              <w:top w:val="nil"/>
              <w:left w:val="nil"/>
              <w:bottom w:val="single" w:sz="6" w:space="0" w:color="auto"/>
              <w:right w:val="nil"/>
            </w:tcBorders>
          </w:tcPr>
          <w:p w14:paraId="12D761A0"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(0.015)</w:t>
            </w:r>
          </w:p>
        </w:tc>
      </w:tr>
    </w:tbl>
    <w:p w14:paraId="1891A874" w14:textId="77777777" w:rsidR="0067022B" w:rsidRPr="005576E1" w:rsidRDefault="0067022B" w:rsidP="005576E1">
      <w:pPr>
        <w:widowControl w:val="0"/>
        <w:autoSpaceDE w:val="0"/>
        <w:autoSpaceDN w:val="0"/>
        <w:adjustRightInd w:val="0"/>
        <w:spacing w:after="66"/>
        <w:rPr>
          <w:rFonts w:ascii="Times New Roman" w:hAnsi="Times New Roman" w:cs="Times New Roman"/>
          <w:sz w:val="16"/>
          <w:szCs w:val="16"/>
        </w:rPr>
      </w:pPr>
      <w:r w:rsidRPr="005576E1">
        <w:rPr>
          <w:rFonts w:ascii="Times New Roman" w:hAnsi="Times New Roman" w:cs="Times New Roman"/>
          <w:sz w:val="16"/>
          <w:szCs w:val="16"/>
        </w:rPr>
        <w:t xml:space="preserve">Main independent variable is a binary indicator of TIF designation. This specification accounts for </w:t>
      </w:r>
      <w:proofErr w:type="spellStart"/>
      <w:r w:rsidRPr="005576E1">
        <w:rPr>
          <w:rFonts w:ascii="Times New Roman" w:hAnsi="Times New Roman" w:cs="Times New Roman"/>
          <w:sz w:val="16"/>
          <w:szCs w:val="16"/>
        </w:rPr>
        <w:t>Ashfelter</w:t>
      </w:r>
      <w:proofErr w:type="spellEnd"/>
      <w:r w:rsidRPr="005576E1">
        <w:rPr>
          <w:rFonts w:ascii="Times New Roman" w:hAnsi="Times New Roman" w:cs="Times New Roman"/>
          <w:sz w:val="16"/>
          <w:szCs w:val="16"/>
        </w:rPr>
        <w:t xml:space="preserve"> dip by including 3 leads and 1 lag. Reported coefficient is that of the lag coefficient. Independent variable is a binary indicator of treatment status. Standard errors clustered at TIF district level for Kansas City. All specifications account for raw population changes at the tract level and include block group and year fixed effects.</w:t>
      </w:r>
    </w:p>
    <w:p w14:paraId="26F82184" w14:textId="77777777" w:rsidR="0067022B" w:rsidRPr="005576E1" w:rsidRDefault="0067022B" w:rsidP="005576E1">
      <w:pPr>
        <w:ind w:left="0"/>
        <w:rPr>
          <w:rFonts w:ascii="Times New Roman" w:hAnsi="Times New Roman" w:cs="Times New Roman"/>
        </w:rPr>
        <w:sectPr w:rsidR="0067022B" w:rsidRPr="005576E1" w:rsidSect="00361445">
          <w:pgSz w:w="15840" w:h="12240" w:orient="landscape"/>
          <w:pgMar w:top="1440" w:right="1440" w:bottom="1440" w:left="1440" w:header="720" w:footer="720" w:gutter="0"/>
          <w:cols w:space="720"/>
          <w:docGrid w:linePitch="360"/>
        </w:sectPr>
      </w:pPr>
    </w:p>
    <w:p w14:paraId="1B721C60" w14:textId="77777777" w:rsidR="0067022B" w:rsidRPr="005576E1" w:rsidRDefault="0067022B" w:rsidP="005576E1">
      <w:pPr>
        <w:ind w:left="0"/>
        <w:rPr>
          <w:rFonts w:ascii="Times New Roman" w:hAnsi="Times New Roman" w:cs="Times New Roman"/>
        </w:rPr>
      </w:pPr>
    </w:p>
    <w:p w14:paraId="03B74B1F" w14:textId="1EDCDD55" w:rsidR="0067022B" w:rsidRPr="005576E1" w:rsidRDefault="0067022B" w:rsidP="005576E1">
      <w:pPr>
        <w:widowControl w:val="0"/>
        <w:autoSpaceDE w:val="0"/>
        <w:autoSpaceDN w:val="0"/>
        <w:adjustRightInd w:val="0"/>
        <w:spacing w:before="66" w:after="66"/>
        <w:jc w:val="center"/>
        <w:rPr>
          <w:rFonts w:ascii="Times New Roman" w:hAnsi="Times New Roman" w:cs="Times New Roman"/>
          <w:b/>
          <w:bCs/>
        </w:rPr>
      </w:pPr>
      <w:r w:rsidRPr="005576E1">
        <w:rPr>
          <w:rFonts w:ascii="Times New Roman" w:hAnsi="Times New Roman" w:cs="Times New Roman"/>
          <w:b/>
          <w:bCs/>
          <w:sz w:val="24"/>
          <w:szCs w:val="24"/>
        </w:rPr>
        <w:t xml:space="preserve">Table </w:t>
      </w:r>
      <w:r w:rsidR="00581B12">
        <w:rPr>
          <w:rFonts w:ascii="Times New Roman" w:hAnsi="Times New Roman" w:cs="Times New Roman"/>
          <w:b/>
          <w:bCs/>
          <w:sz w:val="24"/>
          <w:szCs w:val="24"/>
        </w:rPr>
        <w:t>5</w:t>
      </w:r>
      <w:r w:rsidRPr="005576E1">
        <w:rPr>
          <w:rFonts w:ascii="Times New Roman" w:hAnsi="Times New Roman" w:cs="Times New Roman"/>
          <w:b/>
          <w:bCs/>
          <w:sz w:val="24"/>
          <w:szCs w:val="24"/>
        </w:rPr>
        <w:t xml:space="preserve">: </w:t>
      </w:r>
      <w:r w:rsidRPr="005576E1">
        <w:rPr>
          <w:rFonts w:ascii="Times New Roman" w:hAnsi="Times New Roman" w:cs="Times New Roman"/>
          <w:b/>
          <w:bCs/>
        </w:rPr>
        <w:t>The Impact of TIF Investment on the Natural Log of Employment, Sales, and Establishments, 1990-2012.</w:t>
      </w:r>
    </w:p>
    <w:p w14:paraId="29C9993D" w14:textId="77777777" w:rsidR="0067022B" w:rsidRPr="005576E1" w:rsidRDefault="0067022B" w:rsidP="005576E1">
      <w:pPr>
        <w:widowControl w:val="0"/>
        <w:autoSpaceDE w:val="0"/>
        <w:autoSpaceDN w:val="0"/>
        <w:adjustRightInd w:val="0"/>
        <w:spacing w:before="66" w:after="66"/>
        <w:jc w:val="center"/>
        <w:rPr>
          <w:rFonts w:ascii="Times New Roman" w:hAnsi="Times New Roman" w:cs="Times New Roman"/>
          <w:sz w:val="20"/>
          <w:szCs w:val="20"/>
        </w:rPr>
      </w:pPr>
      <w:r w:rsidRPr="005576E1">
        <w:rPr>
          <w:rFonts w:ascii="Times New Roman" w:hAnsi="Times New Roman" w:cs="Times New Roman"/>
          <w:b/>
          <w:bCs/>
          <w:sz w:val="20"/>
          <w:szCs w:val="20"/>
        </w:rPr>
        <w:t xml:space="preserve">Difference-in-Difference Specification </w:t>
      </w:r>
    </w:p>
    <w:tbl>
      <w:tblPr>
        <w:tblW w:w="0" w:type="auto"/>
        <w:jc w:val="center"/>
        <w:tblCellMar>
          <w:left w:w="144" w:type="dxa"/>
          <w:right w:w="144" w:type="dxa"/>
        </w:tblCellMar>
        <w:tblLook w:val="0000" w:firstRow="0" w:lastRow="0" w:firstColumn="0" w:lastColumn="0" w:noHBand="0" w:noVBand="0"/>
      </w:tblPr>
      <w:tblGrid>
        <w:gridCol w:w="5180"/>
        <w:gridCol w:w="2100"/>
        <w:gridCol w:w="1786"/>
        <w:gridCol w:w="294"/>
        <w:gridCol w:w="294"/>
      </w:tblGrid>
      <w:tr w:rsidR="005576E1" w:rsidRPr="005576E1" w14:paraId="6CA70E60" w14:textId="77777777" w:rsidTr="00E23A10">
        <w:trPr>
          <w:jc w:val="center"/>
        </w:trPr>
        <w:tc>
          <w:tcPr>
            <w:tcW w:w="5180" w:type="dxa"/>
            <w:tcBorders>
              <w:top w:val="single" w:sz="6" w:space="0" w:color="auto"/>
              <w:left w:val="nil"/>
              <w:bottom w:val="nil"/>
              <w:right w:val="nil"/>
            </w:tcBorders>
          </w:tcPr>
          <w:p w14:paraId="36087CBF" w14:textId="77777777" w:rsidR="0067022B" w:rsidRPr="005576E1" w:rsidRDefault="0067022B" w:rsidP="005576E1">
            <w:pPr>
              <w:widowControl w:val="0"/>
              <w:autoSpaceDE w:val="0"/>
              <w:autoSpaceDN w:val="0"/>
              <w:adjustRightInd w:val="0"/>
              <w:spacing w:before="66"/>
              <w:rPr>
                <w:rFonts w:ascii="Times New Roman" w:hAnsi="Times New Roman" w:cs="Times New Roman"/>
                <w:sz w:val="20"/>
                <w:szCs w:val="20"/>
              </w:rPr>
            </w:pPr>
          </w:p>
        </w:tc>
        <w:tc>
          <w:tcPr>
            <w:tcW w:w="3220" w:type="dxa"/>
            <w:gridSpan w:val="2"/>
            <w:tcBorders>
              <w:top w:val="single" w:sz="6" w:space="0" w:color="auto"/>
              <w:left w:val="dashed" w:sz="6" w:space="0" w:color="auto"/>
              <w:bottom w:val="nil"/>
              <w:right w:val="nil"/>
            </w:tcBorders>
          </w:tcPr>
          <w:p w14:paraId="7EA67F14" w14:textId="74A11F3A" w:rsidR="0067022B" w:rsidRPr="005576E1" w:rsidRDefault="005576E1" w:rsidP="005576E1">
            <w:pPr>
              <w:widowControl w:val="0"/>
              <w:autoSpaceDE w:val="0"/>
              <w:autoSpaceDN w:val="0"/>
              <w:adjustRightInd w:val="0"/>
              <w:spacing w:before="66"/>
              <w:jc w:val="center"/>
              <w:rPr>
                <w:rFonts w:ascii="Times New Roman" w:hAnsi="Times New Roman" w:cs="Times New Roman"/>
                <w:sz w:val="20"/>
                <w:szCs w:val="20"/>
              </w:rPr>
            </w:pPr>
            <w:r w:rsidRPr="005576E1">
              <w:rPr>
                <w:rFonts w:ascii="Times New Roman" w:hAnsi="Times New Roman" w:cs="Times New Roman"/>
                <w:sz w:val="20"/>
                <w:szCs w:val="20"/>
                <w:u w:val="single"/>
              </w:rPr>
              <w:t>Saint Louis</w:t>
            </w:r>
          </w:p>
        </w:tc>
        <w:tc>
          <w:tcPr>
            <w:tcW w:w="576" w:type="dxa"/>
            <w:gridSpan w:val="2"/>
            <w:tcBorders>
              <w:top w:val="single" w:sz="6" w:space="0" w:color="auto"/>
              <w:left w:val="nil"/>
              <w:bottom w:val="nil"/>
              <w:right w:val="nil"/>
            </w:tcBorders>
          </w:tcPr>
          <w:p w14:paraId="54661E59" w14:textId="77777777" w:rsidR="0067022B" w:rsidRPr="005576E1" w:rsidRDefault="0067022B" w:rsidP="005576E1">
            <w:pPr>
              <w:widowControl w:val="0"/>
              <w:autoSpaceDE w:val="0"/>
              <w:autoSpaceDN w:val="0"/>
              <w:adjustRightInd w:val="0"/>
              <w:spacing w:before="66"/>
              <w:jc w:val="center"/>
              <w:rPr>
                <w:rFonts w:ascii="Times New Roman" w:hAnsi="Times New Roman" w:cs="Times New Roman"/>
                <w:sz w:val="20"/>
                <w:szCs w:val="20"/>
              </w:rPr>
            </w:pPr>
          </w:p>
        </w:tc>
      </w:tr>
      <w:tr w:rsidR="005576E1" w:rsidRPr="005576E1" w14:paraId="2BDA7117" w14:textId="77777777" w:rsidTr="00E23A10">
        <w:trPr>
          <w:jc w:val="center"/>
        </w:trPr>
        <w:tc>
          <w:tcPr>
            <w:tcW w:w="5180" w:type="dxa"/>
            <w:tcBorders>
              <w:top w:val="nil"/>
              <w:left w:val="nil"/>
              <w:bottom w:val="nil"/>
              <w:right w:val="nil"/>
            </w:tcBorders>
          </w:tcPr>
          <w:p w14:paraId="5FDF751B" w14:textId="77777777" w:rsidR="0067022B" w:rsidRPr="005576E1" w:rsidRDefault="0067022B" w:rsidP="005576E1">
            <w:pPr>
              <w:widowControl w:val="0"/>
              <w:autoSpaceDE w:val="0"/>
              <w:autoSpaceDN w:val="0"/>
              <w:adjustRightInd w:val="0"/>
              <w:spacing w:after="66"/>
              <w:rPr>
                <w:rFonts w:ascii="Times New Roman" w:hAnsi="Times New Roman" w:cs="Times New Roman"/>
                <w:sz w:val="20"/>
                <w:szCs w:val="20"/>
              </w:rPr>
            </w:pPr>
          </w:p>
        </w:tc>
        <w:tc>
          <w:tcPr>
            <w:tcW w:w="2100" w:type="dxa"/>
            <w:tcBorders>
              <w:top w:val="nil"/>
              <w:left w:val="dashed" w:sz="6" w:space="0" w:color="auto"/>
              <w:bottom w:val="nil"/>
              <w:right w:val="nil"/>
            </w:tcBorders>
          </w:tcPr>
          <w:p w14:paraId="1A9C6CF2"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Unweighted</w:t>
            </w:r>
          </w:p>
        </w:tc>
        <w:tc>
          <w:tcPr>
            <w:tcW w:w="1120" w:type="dxa"/>
            <w:tcBorders>
              <w:top w:val="nil"/>
              <w:left w:val="nil"/>
              <w:bottom w:val="nil"/>
              <w:right w:val="nil"/>
            </w:tcBorders>
          </w:tcPr>
          <w:p w14:paraId="7E0C351C"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r w:rsidRPr="005576E1">
              <w:rPr>
                <w:rFonts w:ascii="Times New Roman" w:hAnsi="Times New Roman" w:cs="Times New Roman"/>
                <w:sz w:val="20"/>
                <w:szCs w:val="20"/>
              </w:rPr>
              <w:t>Weighted</w:t>
            </w:r>
          </w:p>
        </w:tc>
        <w:tc>
          <w:tcPr>
            <w:tcW w:w="288" w:type="dxa"/>
            <w:tcBorders>
              <w:top w:val="nil"/>
              <w:left w:val="nil"/>
              <w:bottom w:val="nil"/>
              <w:right w:val="nil"/>
            </w:tcBorders>
          </w:tcPr>
          <w:p w14:paraId="355E7207"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p>
        </w:tc>
        <w:tc>
          <w:tcPr>
            <w:tcW w:w="288" w:type="dxa"/>
            <w:tcBorders>
              <w:top w:val="nil"/>
              <w:left w:val="nil"/>
              <w:bottom w:val="nil"/>
              <w:right w:val="nil"/>
            </w:tcBorders>
          </w:tcPr>
          <w:p w14:paraId="03493DF4" w14:textId="77777777" w:rsidR="0067022B" w:rsidRPr="005576E1" w:rsidRDefault="0067022B" w:rsidP="005576E1">
            <w:pPr>
              <w:widowControl w:val="0"/>
              <w:autoSpaceDE w:val="0"/>
              <w:autoSpaceDN w:val="0"/>
              <w:adjustRightInd w:val="0"/>
              <w:spacing w:after="66"/>
              <w:jc w:val="center"/>
              <w:rPr>
                <w:rFonts w:ascii="Times New Roman" w:hAnsi="Times New Roman" w:cs="Times New Roman"/>
                <w:sz w:val="20"/>
                <w:szCs w:val="20"/>
              </w:rPr>
            </w:pPr>
          </w:p>
        </w:tc>
      </w:tr>
      <w:tr w:rsidR="005576E1" w:rsidRPr="005576E1" w14:paraId="76E06EEB" w14:textId="77777777" w:rsidTr="00E23A10">
        <w:trPr>
          <w:jc w:val="center"/>
        </w:trPr>
        <w:tc>
          <w:tcPr>
            <w:tcW w:w="5180" w:type="dxa"/>
            <w:tcBorders>
              <w:top w:val="single" w:sz="6" w:space="0" w:color="auto"/>
              <w:left w:val="nil"/>
              <w:bottom w:val="nil"/>
              <w:right w:val="nil"/>
            </w:tcBorders>
          </w:tcPr>
          <w:p w14:paraId="763142B7"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Total</w:t>
            </w:r>
          </w:p>
        </w:tc>
        <w:tc>
          <w:tcPr>
            <w:tcW w:w="2100" w:type="dxa"/>
            <w:tcBorders>
              <w:top w:val="single" w:sz="6" w:space="0" w:color="auto"/>
              <w:left w:val="dashed" w:sz="6" w:space="0" w:color="auto"/>
              <w:bottom w:val="nil"/>
              <w:right w:val="nil"/>
            </w:tcBorders>
          </w:tcPr>
          <w:p w14:paraId="5AD962A3"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-0.011**</w:t>
            </w:r>
          </w:p>
        </w:tc>
        <w:tc>
          <w:tcPr>
            <w:tcW w:w="1120" w:type="dxa"/>
            <w:tcBorders>
              <w:top w:val="single" w:sz="6" w:space="0" w:color="auto"/>
              <w:left w:val="nil"/>
              <w:bottom w:val="nil"/>
              <w:right w:val="nil"/>
            </w:tcBorders>
          </w:tcPr>
          <w:p w14:paraId="60A9E04E"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c>
          <w:tcPr>
            <w:tcW w:w="288" w:type="dxa"/>
            <w:tcBorders>
              <w:top w:val="single" w:sz="6" w:space="0" w:color="auto"/>
              <w:left w:val="nil"/>
              <w:bottom w:val="nil"/>
              <w:right w:val="nil"/>
            </w:tcBorders>
          </w:tcPr>
          <w:p w14:paraId="700EE90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single" w:sz="6" w:space="0" w:color="auto"/>
              <w:left w:val="nil"/>
              <w:bottom w:val="nil"/>
              <w:right w:val="nil"/>
            </w:tcBorders>
          </w:tcPr>
          <w:p w14:paraId="070F73F7"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748EDA98" w14:textId="77777777" w:rsidTr="00E23A10">
        <w:trPr>
          <w:jc w:val="center"/>
        </w:trPr>
        <w:tc>
          <w:tcPr>
            <w:tcW w:w="5180" w:type="dxa"/>
            <w:tcBorders>
              <w:top w:val="nil"/>
              <w:left w:val="nil"/>
              <w:bottom w:val="nil"/>
              <w:right w:val="nil"/>
            </w:tcBorders>
          </w:tcPr>
          <w:p w14:paraId="1B0C2350"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3BB363F1"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nil"/>
              <w:right w:val="nil"/>
            </w:tcBorders>
          </w:tcPr>
          <w:p w14:paraId="6C0DF103"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6DE3DF79"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5A0107A3"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30F75D18" w14:textId="77777777" w:rsidTr="00E23A10">
        <w:trPr>
          <w:jc w:val="center"/>
        </w:trPr>
        <w:tc>
          <w:tcPr>
            <w:tcW w:w="5180" w:type="dxa"/>
            <w:tcBorders>
              <w:top w:val="nil"/>
              <w:left w:val="nil"/>
              <w:bottom w:val="nil"/>
              <w:right w:val="nil"/>
            </w:tcBorders>
          </w:tcPr>
          <w:p w14:paraId="2764E60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Manufacturing</w:t>
            </w:r>
          </w:p>
        </w:tc>
        <w:tc>
          <w:tcPr>
            <w:tcW w:w="2100" w:type="dxa"/>
            <w:tcBorders>
              <w:top w:val="nil"/>
              <w:left w:val="dashed" w:sz="6" w:space="0" w:color="auto"/>
              <w:bottom w:val="nil"/>
              <w:right w:val="nil"/>
            </w:tcBorders>
          </w:tcPr>
          <w:p w14:paraId="64D8F766"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-0.019</w:t>
            </w:r>
          </w:p>
        </w:tc>
        <w:tc>
          <w:tcPr>
            <w:tcW w:w="1120" w:type="dxa"/>
            <w:tcBorders>
              <w:top w:val="nil"/>
              <w:left w:val="nil"/>
              <w:bottom w:val="nil"/>
              <w:right w:val="nil"/>
            </w:tcBorders>
          </w:tcPr>
          <w:p w14:paraId="7297FCFC"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-0.012</w:t>
            </w:r>
          </w:p>
        </w:tc>
        <w:tc>
          <w:tcPr>
            <w:tcW w:w="288" w:type="dxa"/>
            <w:tcBorders>
              <w:top w:val="nil"/>
              <w:left w:val="nil"/>
              <w:bottom w:val="nil"/>
              <w:right w:val="nil"/>
            </w:tcBorders>
          </w:tcPr>
          <w:p w14:paraId="4BD15631"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38E47F60"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BFCCBB6" w14:textId="77777777" w:rsidTr="00E23A10">
        <w:trPr>
          <w:jc w:val="center"/>
        </w:trPr>
        <w:tc>
          <w:tcPr>
            <w:tcW w:w="5180" w:type="dxa"/>
            <w:tcBorders>
              <w:top w:val="nil"/>
              <w:left w:val="nil"/>
              <w:bottom w:val="nil"/>
              <w:right w:val="nil"/>
            </w:tcBorders>
          </w:tcPr>
          <w:p w14:paraId="1CBB25AE"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52A15462"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(0.003)</w:t>
            </w:r>
          </w:p>
        </w:tc>
        <w:tc>
          <w:tcPr>
            <w:tcW w:w="1120" w:type="dxa"/>
            <w:tcBorders>
              <w:top w:val="nil"/>
              <w:left w:val="nil"/>
              <w:bottom w:val="nil"/>
              <w:right w:val="nil"/>
            </w:tcBorders>
          </w:tcPr>
          <w:p w14:paraId="122F1B15"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288" w:type="dxa"/>
            <w:tcBorders>
              <w:top w:val="nil"/>
              <w:left w:val="nil"/>
              <w:bottom w:val="nil"/>
              <w:right w:val="nil"/>
            </w:tcBorders>
          </w:tcPr>
          <w:p w14:paraId="342EA230"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7C10CFB2"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5FBDE130" w14:textId="77777777" w:rsidTr="00E23A10">
        <w:trPr>
          <w:jc w:val="center"/>
        </w:trPr>
        <w:tc>
          <w:tcPr>
            <w:tcW w:w="5180" w:type="dxa"/>
            <w:tcBorders>
              <w:top w:val="nil"/>
              <w:left w:val="nil"/>
              <w:bottom w:val="nil"/>
              <w:right w:val="nil"/>
            </w:tcBorders>
          </w:tcPr>
          <w:p w14:paraId="1C1FDC43"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Retail</w:t>
            </w:r>
          </w:p>
        </w:tc>
        <w:tc>
          <w:tcPr>
            <w:tcW w:w="2100" w:type="dxa"/>
            <w:tcBorders>
              <w:top w:val="nil"/>
              <w:left w:val="dashed" w:sz="6" w:space="0" w:color="auto"/>
              <w:bottom w:val="nil"/>
              <w:right w:val="nil"/>
            </w:tcBorders>
          </w:tcPr>
          <w:p w14:paraId="0D51B356"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c>
          <w:tcPr>
            <w:tcW w:w="1120" w:type="dxa"/>
            <w:tcBorders>
              <w:top w:val="nil"/>
              <w:left w:val="nil"/>
              <w:bottom w:val="nil"/>
              <w:right w:val="nil"/>
            </w:tcBorders>
          </w:tcPr>
          <w:p w14:paraId="1259982D"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288" w:type="dxa"/>
            <w:tcBorders>
              <w:top w:val="nil"/>
              <w:left w:val="nil"/>
              <w:bottom w:val="nil"/>
              <w:right w:val="nil"/>
            </w:tcBorders>
          </w:tcPr>
          <w:p w14:paraId="122FB717"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4B8F9E6F"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04E47C58" w14:textId="77777777" w:rsidTr="00E23A10">
        <w:trPr>
          <w:jc w:val="center"/>
        </w:trPr>
        <w:tc>
          <w:tcPr>
            <w:tcW w:w="5180" w:type="dxa"/>
            <w:tcBorders>
              <w:top w:val="nil"/>
              <w:left w:val="nil"/>
              <w:bottom w:val="nil"/>
              <w:right w:val="nil"/>
            </w:tcBorders>
          </w:tcPr>
          <w:p w14:paraId="1274D89D"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27A6C146"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1120" w:type="dxa"/>
            <w:tcBorders>
              <w:top w:val="nil"/>
              <w:left w:val="nil"/>
              <w:bottom w:val="nil"/>
              <w:right w:val="nil"/>
            </w:tcBorders>
          </w:tcPr>
          <w:p w14:paraId="435163C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246DE931"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2797C81B"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8C059C7" w14:textId="77777777" w:rsidTr="00E23A10">
        <w:trPr>
          <w:jc w:val="center"/>
        </w:trPr>
        <w:tc>
          <w:tcPr>
            <w:tcW w:w="5180" w:type="dxa"/>
            <w:tcBorders>
              <w:top w:val="nil"/>
              <w:left w:val="nil"/>
              <w:bottom w:val="nil"/>
              <w:right w:val="nil"/>
            </w:tcBorders>
          </w:tcPr>
          <w:p w14:paraId="4C82E8DA"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Employment: Services</w:t>
            </w:r>
          </w:p>
        </w:tc>
        <w:tc>
          <w:tcPr>
            <w:tcW w:w="2100" w:type="dxa"/>
            <w:tcBorders>
              <w:top w:val="nil"/>
              <w:left w:val="dashed" w:sz="6" w:space="0" w:color="auto"/>
              <w:bottom w:val="nil"/>
              <w:right w:val="nil"/>
            </w:tcBorders>
          </w:tcPr>
          <w:p w14:paraId="552BC577"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1120" w:type="dxa"/>
            <w:tcBorders>
              <w:top w:val="nil"/>
              <w:left w:val="nil"/>
              <w:bottom w:val="nil"/>
              <w:right w:val="nil"/>
            </w:tcBorders>
          </w:tcPr>
          <w:p w14:paraId="0B435102"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-0.007</w:t>
            </w:r>
          </w:p>
        </w:tc>
        <w:tc>
          <w:tcPr>
            <w:tcW w:w="288" w:type="dxa"/>
            <w:tcBorders>
              <w:top w:val="nil"/>
              <w:left w:val="nil"/>
              <w:bottom w:val="nil"/>
              <w:right w:val="nil"/>
            </w:tcBorders>
          </w:tcPr>
          <w:p w14:paraId="308766F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5586A04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144FD0E9" w14:textId="77777777" w:rsidTr="00E23A10">
        <w:trPr>
          <w:jc w:val="center"/>
        </w:trPr>
        <w:tc>
          <w:tcPr>
            <w:tcW w:w="5180" w:type="dxa"/>
            <w:tcBorders>
              <w:top w:val="nil"/>
              <w:left w:val="nil"/>
              <w:bottom w:val="nil"/>
              <w:right w:val="nil"/>
            </w:tcBorders>
          </w:tcPr>
          <w:p w14:paraId="7640FCC8"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362E8E86"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1120" w:type="dxa"/>
            <w:tcBorders>
              <w:top w:val="nil"/>
              <w:left w:val="nil"/>
              <w:bottom w:val="nil"/>
              <w:right w:val="nil"/>
            </w:tcBorders>
          </w:tcPr>
          <w:p w14:paraId="331E8CE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3610A581"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37AA1E0E"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55476DD" w14:textId="77777777" w:rsidTr="00E23A10">
        <w:trPr>
          <w:jc w:val="center"/>
        </w:trPr>
        <w:tc>
          <w:tcPr>
            <w:tcW w:w="5180" w:type="dxa"/>
            <w:tcBorders>
              <w:top w:val="nil"/>
              <w:left w:val="nil"/>
              <w:bottom w:val="nil"/>
              <w:right w:val="nil"/>
            </w:tcBorders>
          </w:tcPr>
          <w:p w14:paraId="550E3B9B"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Total</w:t>
            </w:r>
          </w:p>
        </w:tc>
        <w:tc>
          <w:tcPr>
            <w:tcW w:w="2100" w:type="dxa"/>
            <w:tcBorders>
              <w:top w:val="nil"/>
              <w:left w:val="dashed" w:sz="6" w:space="0" w:color="auto"/>
              <w:bottom w:val="nil"/>
              <w:right w:val="nil"/>
            </w:tcBorders>
          </w:tcPr>
          <w:p w14:paraId="1E1195A8"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-0.014</w:t>
            </w:r>
          </w:p>
        </w:tc>
        <w:tc>
          <w:tcPr>
            <w:tcW w:w="1120" w:type="dxa"/>
            <w:tcBorders>
              <w:top w:val="nil"/>
              <w:left w:val="nil"/>
              <w:bottom w:val="nil"/>
              <w:right w:val="nil"/>
            </w:tcBorders>
          </w:tcPr>
          <w:p w14:paraId="23A71A8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-0.012</w:t>
            </w:r>
          </w:p>
        </w:tc>
        <w:tc>
          <w:tcPr>
            <w:tcW w:w="288" w:type="dxa"/>
            <w:tcBorders>
              <w:top w:val="nil"/>
              <w:left w:val="nil"/>
              <w:bottom w:val="nil"/>
              <w:right w:val="nil"/>
            </w:tcBorders>
          </w:tcPr>
          <w:p w14:paraId="5CB1BEB4"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29EDDD6D"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FDC803D" w14:textId="77777777" w:rsidTr="00E23A10">
        <w:trPr>
          <w:jc w:val="center"/>
        </w:trPr>
        <w:tc>
          <w:tcPr>
            <w:tcW w:w="5180" w:type="dxa"/>
            <w:tcBorders>
              <w:top w:val="nil"/>
              <w:left w:val="nil"/>
              <w:bottom w:val="nil"/>
              <w:right w:val="nil"/>
            </w:tcBorders>
          </w:tcPr>
          <w:p w14:paraId="3460D51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01DB1D1D"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nil"/>
              <w:right w:val="nil"/>
            </w:tcBorders>
          </w:tcPr>
          <w:p w14:paraId="4DF88187"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518E0763"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50BE4EA9"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45EAA9EC" w14:textId="77777777" w:rsidTr="00E23A10">
        <w:trPr>
          <w:jc w:val="center"/>
        </w:trPr>
        <w:tc>
          <w:tcPr>
            <w:tcW w:w="5180" w:type="dxa"/>
            <w:tcBorders>
              <w:top w:val="nil"/>
              <w:left w:val="nil"/>
              <w:bottom w:val="nil"/>
              <w:right w:val="nil"/>
            </w:tcBorders>
          </w:tcPr>
          <w:p w14:paraId="39306BA4"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Manufacturing</w:t>
            </w:r>
          </w:p>
        </w:tc>
        <w:tc>
          <w:tcPr>
            <w:tcW w:w="2100" w:type="dxa"/>
            <w:tcBorders>
              <w:top w:val="nil"/>
              <w:left w:val="dashed" w:sz="6" w:space="0" w:color="auto"/>
              <w:bottom w:val="nil"/>
              <w:right w:val="nil"/>
            </w:tcBorders>
          </w:tcPr>
          <w:p w14:paraId="119E575C"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-0.019</w:t>
            </w:r>
          </w:p>
        </w:tc>
        <w:tc>
          <w:tcPr>
            <w:tcW w:w="1120" w:type="dxa"/>
            <w:tcBorders>
              <w:top w:val="nil"/>
              <w:left w:val="nil"/>
              <w:bottom w:val="nil"/>
              <w:right w:val="nil"/>
            </w:tcBorders>
          </w:tcPr>
          <w:p w14:paraId="028A23AA"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-0.012</w:t>
            </w:r>
          </w:p>
        </w:tc>
        <w:tc>
          <w:tcPr>
            <w:tcW w:w="288" w:type="dxa"/>
            <w:tcBorders>
              <w:top w:val="nil"/>
              <w:left w:val="nil"/>
              <w:bottom w:val="nil"/>
              <w:right w:val="nil"/>
            </w:tcBorders>
          </w:tcPr>
          <w:p w14:paraId="0886EFED"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3BAF0F4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604474ED" w14:textId="77777777" w:rsidTr="00E23A10">
        <w:trPr>
          <w:jc w:val="center"/>
        </w:trPr>
        <w:tc>
          <w:tcPr>
            <w:tcW w:w="5180" w:type="dxa"/>
            <w:tcBorders>
              <w:top w:val="nil"/>
              <w:left w:val="nil"/>
              <w:bottom w:val="nil"/>
              <w:right w:val="nil"/>
            </w:tcBorders>
          </w:tcPr>
          <w:p w14:paraId="56858CB0"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5C73207D"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(0.003)</w:t>
            </w:r>
          </w:p>
        </w:tc>
        <w:tc>
          <w:tcPr>
            <w:tcW w:w="1120" w:type="dxa"/>
            <w:tcBorders>
              <w:top w:val="nil"/>
              <w:left w:val="nil"/>
              <w:bottom w:val="nil"/>
              <w:right w:val="nil"/>
            </w:tcBorders>
          </w:tcPr>
          <w:p w14:paraId="47B2527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288" w:type="dxa"/>
            <w:tcBorders>
              <w:top w:val="nil"/>
              <w:left w:val="nil"/>
              <w:bottom w:val="nil"/>
              <w:right w:val="nil"/>
            </w:tcBorders>
          </w:tcPr>
          <w:p w14:paraId="1F12B77D"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2C15ED7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1A59D66A" w14:textId="77777777" w:rsidTr="00E23A10">
        <w:trPr>
          <w:jc w:val="center"/>
        </w:trPr>
        <w:tc>
          <w:tcPr>
            <w:tcW w:w="5180" w:type="dxa"/>
            <w:tcBorders>
              <w:top w:val="nil"/>
              <w:left w:val="nil"/>
              <w:bottom w:val="nil"/>
              <w:right w:val="nil"/>
            </w:tcBorders>
          </w:tcPr>
          <w:p w14:paraId="3D46A1DB"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Retail</w:t>
            </w:r>
          </w:p>
        </w:tc>
        <w:tc>
          <w:tcPr>
            <w:tcW w:w="2100" w:type="dxa"/>
            <w:tcBorders>
              <w:top w:val="nil"/>
              <w:left w:val="dashed" w:sz="6" w:space="0" w:color="auto"/>
              <w:bottom w:val="nil"/>
              <w:right w:val="nil"/>
            </w:tcBorders>
          </w:tcPr>
          <w:p w14:paraId="59BC2EC4"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-0.011</w:t>
            </w:r>
          </w:p>
        </w:tc>
        <w:tc>
          <w:tcPr>
            <w:tcW w:w="1120" w:type="dxa"/>
            <w:tcBorders>
              <w:top w:val="nil"/>
              <w:left w:val="nil"/>
              <w:bottom w:val="nil"/>
              <w:right w:val="nil"/>
            </w:tcBorders>
          </w:tcPr>
          <w:p w14:paraId="235AF7BC"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-0.008</w:t>
            </w:r>
          </w:p>
        </w:tc>
        <w:tc>
          <w:tcPr>
            <w:tcW w:w="288" w:type="dxa"/>
            <w:tcBorders>
              <w:top w:val="nil"/>
              <w:left w:val="nil"/>
              <w:bottom w:val="nil"/>
              <w:right w:val="nil"/>
            </w:tcBorders>
          </w:tcPr>
          <w:p w14:paraId="73DEBBAA"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42D256D4"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AD9FC5A" w14:textId="77777777" w:rsidTr="00E23A10">
        <w:trPr>
          <w:jc w:val="center"/>
        </w:trPr>
        <w:tc>
          <w:tcPr>
            <w:tcW w:w="5180" w:type="dxa"/>
            <w:tcBorders>
              <w:top w:val="nil"/>
              <w:left w:val="nil"/>
              <w:bottom w:val="nil"/>
              <w:right w:val="nil"/>
            </w:tcBorders>
          </w:tcPr>
          <w:p w14:paraId="03835A5B"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612E1139"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1120" w:type="dxa"/>
            <w:tcBorders>
              <w:top w:val="nil"/>
              <w:left w:val="nil"/>
              <w:bottom w:val="nil"/>
              <w:right w:val="nil"/>
            </w:tcBorders>
          </w:tcPr>
          <w:p w14:paraId="3F57B271"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226560C2"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263DC5CC"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E3B2AE4" w14:textId="77777777" w:rsidTr="00E23A10">
        <w:trPr>
          <w:jc w:val="center"/>
        </w:trPr>
        <w:tc>
          <w:tcPr>
            <w:tcW w:w="5180" w:type="dxa"/>
            <w:tcBorders>
              <w:top w:val="nil"/>
              <w:left w:val="nil"/>
              <w:bottom w:val="nil"/>
              <w:right w:val="nil"/>
            </w:tcBorders>
          </w:tcPr>
          <w:p w14:paraId="07B2C8FD"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Sales: Services</w:t>
            </w:r>
          </w:p>
        </w:tc>
        <w:tc>
          <w:tcPr>
            <w:tcW w:w="2100" w:type="dxa"/>
            <w:tcBorders>
              <w:top w:val="nil"/>
              <w:left w:val="dashed" w:sz="6" w:space="0" w:color="auto"/>
              <w:bottom w:val="nil"/>
              <w:right w:val="nil"/>
            </w:tcBorders>
          </w:tcPr>
          <w:p w14:paraId="70D53F8A"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-0.009</w:t>
            </w:r>
          </w:p>
        </w:tc>
        <w:tc>
          <w:tcPr>
            <w:tcW w:w="1120" w:type="dxa"/>
            <w:tcBorders>
              <w:top w:val="nil"/>
              <w:left w:val="nil"/>
              <w:bottom w:val="nil"/>
              <w:right w:val="nil"/>
            </w:tcBorders>
          </w:tcPr>
          <w:p w14:paraId="3FF382B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-0.011</w:t>
            </w:r>
          </w:p>
        </w:tc>
        <w:tc>
          <w:tcPr>
            <w:tcW w:w="288" w:type="dxa"/>
            <w:tcBorders>
              <w:top w:val="nil"/>
              <w:left w:val="nil"/>
              <w:bottom w:val="nil"/>
              <w:right w:val="nil"/>
            </w:tcBorders>
          </w:tcPr>
          <w:p w14:paraId="7BEADB21"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7BE57EB7"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59AC5E2D" w14:textId="77777777" w:rsidTr="00E23A10">
        <w:trPr>
          <w:jc w:val="center"/>
        </w:trPr>
        <w:tc>
          <w:tcPr>
            <w:tcW w:w="5180" w:type="dxa"/>
            <w:tcBorders>
              <w:top w:val="nil"/>
              <w:left w:val="nil"/>
              <w:bottom w:val="nil"/>
              <w:right w:val="nil"/>
            </w:tcBorders>
          </w:tcPr>
          <w:p w14:paraId="2EE942C6"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45B36685"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(0.002)</w:t>
            </w:r>
          </w:p>
        </w:tc>
        <w:tc>
          <w:tcPr>
            <w:tcW w:w="1120" w:type="dxa"/>
            <w:tcBorders>
              <w:top w:val="nil"/>
              <w:left w:val="nil"/>
              <w:bottom w:val="nil"/>
              <w:right w:val="nil"/>
            </w:tcBorders>
          </w:tcPr>
          <w:p w14:paraId="0E70C5D3"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1761EA66"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226A0E1E"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6AEA86A4" w14:textId="77777777" w:rsidTr="00E23A10">
        <w:trPr>
          <w:jc w:val="center"/>
        </w:trPr>
        <w:tc>
          <w:tcPr>
            <w:tcW w:w="5180" w:type="dxa"/>
            <w:tcBorders>
              <w:top w:val="nil"/>
              <w:left w:val="nil"/>
              <w:bottom w:val="nil"/>
              <w:right w:val="nil"/>
            </w:tcBorders>
          </w:tcPr>
          <w:p w14:paraId="44A5D6EA"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Total</w:t>
            </w:r>
          </w:p>
        </w:tc>
        <w:tc>
          <w:tcPr>
            <w:tcW w:w="2100" w:type="dxa"/>
            <w:tcBorders>
              <w:top w:val="nil"/>
              <w:left w:val="dashed" w:sz="6" w:space="0" w:color="auto"/>
              <w:bottom w:val="nil"/>
              <w:right w:val="nil"/>
            </w:tcBorders>
          </w:tcPr>
          <w:p w14:paraId="29329E6F"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-0.010</w:t>
            </w:r>
          </w:p>
        </w:tc>
        <w:tc>
          <w:tcPr>
            <w:tcW w:w="1120" w:type="dxa"/>
            <w:tcBorders>
              <w:top w:val="nil"/>
              <w:left w:val="nil"/>
              <w:bottom w:val="nil"/>
              <w:right w:val="nil"/>
            </w:tcBorders>
          </w:tcPr>
          <w:p w14:paraId="15F4D07C"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-0.005</w:t>
            </w:r>
          </w:p>
        </w:tc>
        <w:tc>
          <w:tcPr>
            <w:tcW w:w="288" w:type="dxa"/>
            <w:tcBorders>
              <w:top w:val="nil"/>
              <w:left w:val="nil"/>
              <w:bottom w:val="nil"/>
              <w:right w:val="nil"/>
            </w:tcBorders>
          </w:tcPr>
          <w:p w14:paraId="6BEED573"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447F83A7"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6ABBF324" w14:textId="77777777" w:rsidTr="00E23A10">
        <w:trPr>
          <w:jc w:val="center"/>
        </w:trPr>
        <w:tc>
          <w:tcPr>
            <w:tcW w:w="5180" w:type="dxa"/>
            <w:tcBorders>
              <w:top w:val="nil"/>
              <w:left w:val="nil"/>
              <w:bottom w:val="nil"/>
              <w:right w:val="nil"/>
            </w:tcBorders>
          </w:tcPr>
          <w:p w14:paraId="423C2DC6"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19B4E9DC"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nil"/>
              <w:right w:val="nil"/>
            </w:tcBorders>
          </w:tcPr>
          <w:p w14:paraId="4C7C6A19"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(0.000)</w:t>
            </w:r>
          </w:p>
        </w:tc>
        <w:tc>
          <w:tcPr>
            <w:tcW w:w="288" w:type="dxa"/>
            <w:tcBorders>
              <w:top w:val="nil"/>
              <w:left w:val="nil"/>
              <w:bottom w:val="nil"/>
              <w:right w:val="nil"/>
            </w:tcBorders>
          </w:tcPr>
          <w:p w14:paraId="5BFF1E5E"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653CDB75"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58EF1D8C" w14:textId="77777777" w:rsidTr="00E23A10">
        <w:trPr>
          <w:jc w:val="center"/>
        </w:trPr>
        <w:tc>
          <w:tcPr>
            <w:tcW w:w="5180" w:type="dxa"/>
            <w:tcBorders>
              <w:top w:val="nil"/>
              <w:left w:val="nil"/>
              <w:bottom w:val="nil"/>
              <w:right w:val="nil"/>
            </w:tcBorders>
          </w:tcPr>
          <w:p w14:paraId="476B8B89"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Manufacturing</w:t>
            </w:r>
          </w:p>
        </w:tc>
        <w:tc>
          <w:tcPr>
            <w:tcW w:w="2100" w:type="dxa"/>
            <w:tcBorders>
              <w:top w:val="nil"/>
              <w:left w:val="dashed" w:sz="6" w:space="0" w:color="auto"/>
              <w:bottom w:val="nil"/>
              <w:right w:val="nil"/>
            </w:tcBorders>
          </w:tcPr>
          <w:p w14:paraId="03D4F059"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1120" w:type="dxa"/>
            <w:tcBorders>
              <w:top w:val="nil"/>
              <w:left w:val="nil"/>
              <w:bottom w:val="nil"/>
              <w:right w:val="nil"/>
            </w:tcBorders>
          </w:tcPr>
          <w:p w14:paraId="1B153730"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-0.003</w:t>
            </w:r>
          </w:p>
        </w:tc>
        <w:tc>
          <w:tcPr>
            <w:tcW w:w="288" w:type="dxa"/>
            <w:tcBorders>
              <w:top w:val="nil"/>
              <w:left w:val="nil"/>
              <w:bottom w:val="nil"/>
              <w:right w:val="nil"/>
            </w:tcBorders>
          </w:tcPr>
          <w:p w14:paraId="17F2F066"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5DFD493A"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6573560A" w14:textId="77777777" w:rsidTr="00E23A10">
        <w:trPr>
          <w:jc w:val="center"/>
        </w:trPr>
        <w:tc>
          <w:tcPr>
            <w:tcW w:w="5180" w:type="dxa"/>
            <w:tcBorders>
              <w:top w:val="nil"/>
              <w:left w:val="nil"/>
              <w:bottom w:val="nil"/>
              <w:right w:val="nil"/>
            </w:tcBorders>
          </w:tcPr>
          <w:p w14:paraId="684D57C7"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7A2D57EA"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nil"/>
              <w:right w:val="nil"/>
            </w:tcBorders>
          </w:tcPr>
          <w:p w14:paraId="3892980E"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6AE0283A"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34741C6D"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71BBEB0F" w14:textId="77777777" w:rsidTr="00E23A10">
        <w:trPr>
          <w:jc w:val="center"/>
        </w:trPr>
        <w:tc>
          <w:tcPr>
            <w:tcW w:w="5180" w:type="dxa"/>
            <w:tcBorders>
              <w:top w:val="nil"/>
              <w:left w:val="nil"/>
              <w:bottom w:val="nil"/>
              <w:right w:val="nil"/>
            </w:tcBorders>
          </w:tcPr>
          <w:p w14:paraId="14B8B2AC"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Retail</w:t>
            </w:r>
          </w:p>
        </w:tc>
        <w:tc>
          <w:tcPr>
            <w:tcW w:w="2100" w:type="dxa"/>
            <w:tcBorders>
              <w:top w:val="nil"/>
              <w:left w:val="dashed" w:sz="6" w:space="0" w:color="auto"/>
              <w:bottom w:val="nil"/>
              <w:right w:val="nil"/>
            </w:tcBorders>
          </w:tcPr>
          <w:p w14:paraId="0CAB3FB0"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-0.000</w:t>
            </w:r>
          </w:p>
        </w:tc>
        <w:tc>
          <w:tcPr>
            <w:tcW w:w="1120" w:type="dxa"/>
            <w:tcBorders>
              <w:top w:val="nil"/>
              <w:left w:val="nil"/>
              <w:bottom w:val="nil"/>
              <w:right w:val="nil"/>
            </w:tcBorders>
          </w:tcPr>
          <w:p w14:paraId="20B6F631"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0.001</w:t>
            </w:r>
          </w:p>
        </w:tc>
        <w:tc>
          <w:tcPr>
            <w:tcW w:w="288" w:type="dxa"/>
            <w:tcBorders>
              <w:top w:val="nil"/>
              <w:left w:val="nil"/>
              <w:bottom w:val="nil"/>
              <w:right w:val="nil"/>
            </w:tcBorders>
          </w:tcPr>
          <w:p w14:paraId="260F7292"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39AB0A6E"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5E3E3102" w14:textId="77777777" w:rsidTr="00E23A10">
        <w:trPr>
          <w:jc w:val="center"/>
        </w:trPr>
        <w:tc>
          <w:tcPr>
            <w:tcW w:w="5180" w:type="dxa"/>
            <w:tcBorders>
              <w:top w:val="nil"/>
              <w:left w:val="nil"/>
              <w:bottom w:val="nil"/>
              <w:right w:val="nil"/>
            </w:tcBorders>
          </w:tcPr>
          <w:p w14:paraId="51359B21"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nil"/>
              <w:right w:val="nil"/>
            </w:tcBorders>
          </w:tcPr>
          <w:p w14:paraId="108D246C"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nil"/>
              <w:right w:val="nil"/>
            </w:tcBorders>
          </w:tcPr>
          <w:p w14:paraId="11BAF823"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288" w:type="dxa"/>
            <w:tcBorders>
              <w:top w:val="nil"/>
              <w:left w:val="nil"/>
              <w:bottom w:val="nil"/>
              <w:right w:val="nil"/>
            </w:tcBorders>
          </w:tcPr>
          <w:p w14:paraId="4CCE1355"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18C87BB3"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2A870894" w14:textId="77777777" w:rsidTr="00E23A10">
        <w:trPr>
          <w:jc w:val="center"/>
        </w:trPr>
        <w:tc>
          <w:tcPr>
            <w:tcW w:w="5180" w:type="dxa"/>
            <w:tcBorders>
              <w:top w:val="nil"/>
              <w:left w:val="nil"/>
              <w:bottom w:val="nil"/>
              <w:right w:val="nil"/>
            </w:tcBorders>
          </w:tcPr>
          <w:p w14:paraId="12EAEF4C"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Ln Num. Establishments: Services</w:t>
            </w:r>
          </w:p>
        </w:tc>
        <w:tc>
          <w:tcPr>
            <w:tcW w:w="2100" w:type="dxa"/>
            <w:tcBorders>
              <w:top w:val="nil"/>
              <w:left w:val="dashed" w:sz="6" w:space="0" w:color="auto"/>
              <w:bottom w:val="nil"/>
              <w:right w:val="nil"/>
            </w:tcBorders>
          </w:tcPr>
          <w:p w14:paraId="59EAFAB8"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-0.006</w:t>
            </w:r>
          </w:p>
        </w:tc>
        <w:tc>
          <w:tcPr>
            <w:tcW w:w="1120" w:type="dxa"/>
            <w:tcBorders>
              <w:top w:val="nil"/>
              <w:left w:val="nil"/>
              <w:bottom w:val="nil"/>
              <w:right w:val="nil"/>
            </w:tcBorders>
          </w:tcPr>
          <w:p w14:paraId="26A142F5"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20"/>
                <w:szCs w:val="20"/>
              </w:rPr>
              <w:t>-0.004</w:t>
            </w:r>
          </w:p>
        </w:tc>
        <w:tc>
          <w:tcPr>
            <w:tcW w:w="288" w:type="dxa"/>
            <w:tcBorders>
              <w:top w:val="nil"/>
              <w:left w:val="nil"/>
              <w:bottom w:val="nil"/>
              <w:right w:val="nil"/>
            </w:tcBorders>
          </w:tcPr>
          <w:p w14:paraId="139269E1"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nil"/>
              <w:right w:val="nil"/>
            </w:tcBorders>
          </w:tcPr>
          <w:p w14:paraId="72F48B0B"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r w:rsidR="005576E1" w:rsidRPr="005576E1" w14:paraId="382DA221" w14:textId="77777777" w:rsidTr="00E23A10">
        <w:trPr>
          <w:jc w:val="center"/>
        </w:trPr>
        <w:tc>
          <w:tcPr>
            <w:tcW w:w="5180" w:type="dxa"/>
            <w:tcBorders>
              <w:top w:val="nil"/>
              <w:left w:val="nil"/>
              <w:bottom w:val="single" w:sz="6" w:space="0" w:color="auto"/>
              <w:right w:val="nil"/>
            </w:tcBorders>
          </w:tcPr>
          <w:p w14:paraId="1960D8AE" w14:textId="77777777" w:rsidR="0067022B" w:rsidRPr="005576E1" w:rsidRDefault="0067022B" w:rsidP="005576E1">
            <w:pPr>
              <w:widowControl w:val="0"/>
              <w:autoSpaceDE w:val="0"/>
              <w:autoSpaceDN w:val="0"/>
              <w:adjustRightInd w:val="0"/>
              <w:rPr>
                <w:rFonts w:ascii="Times New Roman" w:hAnsi="Times New Roman" w:cs="Times New Roman"/>
                <w:sz w:val="20"/>
                <w:szCs w:val="20"/>
              </w:rPr>
            </w:pPr>
          </w:p>
        </w:tc>
        <w:tc>
          <w:tcPr>
            <w:tcW w:w="2100" w:type="dxa"/>
            <w:tcBorders>
              <w:top w:val="nil"/>
              <w:left w:val="dashed" w:sz="6" w:space="0" w:color="auto"/>
              <w:bottom w:val="single" w:sz="6" w:space="0" w:color="auto"/>
              <w:right w:val="nil"/>
            </w:tcBorders>
          </w:tcPr>
          <w:p w14:paraId="3365468E" w14:textId="77777777" w:rsidR="0067022B" w:rsidRPr="005576E1" w:rsidRDefault="0067022B" w:rsidP="005576E1">
            <w:pPr>
              <w:widowControl w:val="0"/>
              <w:tabs>
                <w:tab w:val="decimal" w:pos="847"/>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(0.001)</w:t>
            </w:r>
          </w:p>
        </w:tc>
        <w:tc>
          <w:tcPr>
            <w:tcW w:w="1120" w:type="dxa"/>
            <w:tcBorders>
              <w:top w:val="nil"/>
              <w:left w:val="nil"/>
              <w:bottom w:val="single" w:sz="6" w:space="0" w:color="auto"/>
              <w:right w:val="nil"/>
            </w:tcBorders>
          </w:tcPr>
          <w:p w14:paraId="4F508A08" w14:textId="77777777" w:rsidR="0067022B" w:rsidRPr="005576E1" w:rsidRDefault="0067022B" w:rsidP="005576E1">
            <w:pPr>
              <w:widowControl w:val="0"/>
              <w:tabs>
                <w:tab w:val="decimal" w:pos="448"/>
              </w:tabs>
              <w:autoSpaceDE w:val="0"/>
              <w:autoSpaceDN w:val="0"/>
              <w:adjustRightInd w:val="0"/>
              <w:rPr>
                <w:rFonts w:ascii="Times New Roman" w:hAnsi="Times New Roman" w:cs="Times New Roman"/>
                <w:sz w:val="20"/>
                <w:szCs w:val="20"/>
              </w:rPr>
            </w:pPr>
            <w:r w:rsidRPr="005576E1">
              <w:rPr>
                <w:rFonts w:ascii="Times New Roman" w:hAnsi="Times New Roman" w:cs="Times New Roman"/>
                <w:sz w:val="18"/>
                <w:szCs w:val="18"/>
              </w:rPr>
              <w:t>(0.000)</w:t>
            </w:r>
          </w:p>
        </w:tc>
        <w:tc>
          <w:tcPr>
            <w:tcW w:w="288" w:type="dxa"/>
            <w:tcBorders>
              <w:top w:val="nil"/>
              <w:left w:val="nil"/>
              <w:bottom w:val="single" w:sz="6" w:space="0" w:color="auto"/>
              <w:right w:val="nil"/>
            </w:tcBorders>
          </w:tcPr>
          <w:p w14:paraId="5FCC2394"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c>
          <w:tcPr>
            <w:tcW w:w="288" w:type="dxa"/>
            <w:tcBorders>
              <w:top w:val="nil"/>
              <w:left w:val="nil"/>
              <w:bottom w:val="single" w:sz="6" w:space="0" w:color="auto"/>
              <w:right w:val="nil"/>
            </w:tcBorders>
          </w:tcPr>
          <w:p w14:paraId="357DDA54" w14:textId="77777777" w:rsidR="0067022B" w:rsidRPr="005576E1" w:rsidRDefault="0067022B" w:rsidP="005576E1">
            <w:pPr>
              <w:widowControl w:val="0"/>
              <w:tabs>
                <w:tab w:val="decimal" w:pos="163"/>
              </w:tabs>
              <w:autoSpaceDE w:val="0"/>
              <w:autoSpaceDN w:val="0"/>
              <w:adjustRightInd w:val="0"/>
              <w:rPr>
                <w:rFonts w:ascii="Times New Roman" w:hAnsi="Times New Roman" w:cs="Times New Roman"/>
                <w:sz w:val="20"/>
                <w:szCs w:val="20"/>
              </w:rPr>
            </w:pPr>
          </w:p>
        </w:tc>
      </w:tr>
    </w:tbl>
    <w:p w14:paraId="49B1AF1E" w14:textId="77777777" w:rsidR="0067022B" w:rsidRPr="005576E1" w:rsidRDefault="0067022B" w:rsidP="005576E1">
      <w:pPr>
        <w:widowControl w:val="0"/>
        <w:autoSpaceDE w:val="0"/>
        <w:autoSpaceDN w:val="0"/>
        <w:adjustRightInd w:val="0"/>
        <w:spacing w:after="66"/>
        <w:rPr>
          <w:rFonts w:ascii="Times New Roman" w:hAnsi="Times New Roman" w:cs="Times New Roman"/>
          <w:sz w:val="16"/>
          <w:szCs w:val="16"/>
        </w:rPr>
      </w:pPr>
      <w:r w:rsidRPr="005576E1">
        <w:rPr>
          <w:rFonts w:ascii="Times New Roman" w:hAnsi="Times New Roman" w:cs="Times New Roman"/>
          <w:sz w:val="16"/>
          <w:szCs w:val="16"/>
        </w:rPr>
        <w:t>Independent variable is the log of the cumulative total anticipated reimbursable TIF project costs. All specifications account for raw population changes at the tract level and include block group and year fixed effects.</w:t>
      </w:r>
    </w:p>
    <w:p w14:paraId="4097F7A7" w14:textId="77777777" w:rsidR="0067022B" w:rsidRPr="005576E1" w:rsidRDefault="0067022B" w:rsidP="005576E1">
      <w:pPr>
        <w:ind w:left="0"/>
        <w:rPr>
          <w:rFonts w:ascii="Times New Roman" w:hAnsi="Times New Roman" w:cs="Times New Roman"/>
          <w:u w:val="single"/>
        </w:rPr>
      </w:pPr>
    </w:p>
    <w:p w14:paraId="21048EC5" w14:textId="77777777" w:rsidR="0067022B" w:rsidRPr="005576E1" w:rsidRDefault="0067022B" w:rsidP="005576E1">
      <w:pPr>
        <w:ind w:left="0"/>
        <w:rPr>
          <w:rFonts w:ascii="Times New Roman" w:hAnsi="Times New Roman" w:cs="Times New Roman"/>
          <w:u w:val="single"/>
        </w:rPr>
      </w:pPr>
    </w:p>
    <w:p w14:paraId="46E5F1E2" w14:textId="5A6581E2" w:rsidR="0067022B" w:rsidRDefault="0067022B" w:rsidP="005576E1">
      <w:pPr>
        <w:ind w:left="0"/>
        <w:rPr>
          <w:rFonts w:ascii="Times New Roman" w:hAnsi="Times New Roman" w:cs="Times New Roman"/>
          <w:u w:val="single"/>
        </w:rPr>
      </w:pPr>
    </w:p>
    <w:p w14:paraId="0334B41D" w14:textId="0A9A062B" w:rsidR="00581B12" w:rsidRDefault="00581B12" w:rsidP="005576E1">
      <w:pPr>
        <w:ind w:left="0"/>
        <w:rPr>
          <w:rFonts w:ascii="Times New Roman" w:hAnsi="Times New Roman" w:cs="Times New Roman"/>
          <w:u w:val="single"/>
        </w:rPr>
      </w:pPr>
    </w:p>
    <w:p w14:paraId="51EB6754" w14:textId="77777777" w:rsidR="00581B12" w:rsidRPr="005576E1" w:rsidRDefault="00581B12" w:rsidP="005576E1">
      <w:pPr>
        <w:ind w:left="0"/>
        <w:rPr>
          <w:rFonts w:ascii="Times New Roman" w:hAnsi="Times New Roman" w:cs="Times New Roman"/>
          <w:u w:val="single"/>
        </w:rPr>
      </w:pPr>
    </w:p>
    <w:p w14:paraId="7E7D4E87" w14:textId="77777777" w:rsidR="0067022B" w:rsidRPr="005576E1" w:rsidRDefault="0067022B" w:rsidP="005576E1">
      <w:pPr>
        <w:ind w:left="0"/>
        <w:rPr>
          <w:rFonts w:ascii="Times New Roman" w:hAnsi="Times New Roman" w:cs="Times New Roman"/>
          <w:u w:val="single"/>
        </w:rPr>
      </w:pPr>
    </w:p>
    <w:p w14:paraId="20ED1FFA" w14:textId="77777777" w:rsidR="00581B12" w:rsidRDefault="00581B12" w:rsidP="00581B12">
      <w:pPr>
        <w:tabs>
          <w:tab w:val="left" w:pos="5460"/>
        </w:tabs>
        <w:ind w:left="0"/>
        <w:rPr>
          <w:rFonts w:ascii="Times New Roman" w:hAnsi="Times New Roman" w:cs="Times New Roman"/>
          <w:b/>
          <w:bCs/>
          <w:sz w:val="20"/>
          <w:szCs w:val="20"/>
        </w:rPr>
      </w:pPr>
    </w:p>
    <w:p w14:paraId="568FFF8C" w14:textId="77777777" w:rsidR="00581B12" w:rsidRPr="005576E1" w:rsidRDefault="00581B12" w:rsidP="00581B12">
      <w:pPr>
        <w:spacing w:line="480" w:lineRule="auto"/>
        <w:ind w:left="0"/>
        <w:rPr>
          <w:rFonts w:ascii="Times New Roman" w:eastAsiaTheme="minorEastAsia" w:hAnsi="Times New Roman" w:cs="Times New Roman"/>
        </w:rPr>
        <w:sectPr w:rsidR="00581B12" w:rsidRPr="005576E1" w:rsidSect="00E117F6">
          <w:pgSz w:w="15840" w:h="12240" w:orient="landscape"/>
          <w:pgMar w:top="1440" w:right="1440" w:bottom="1440" w:left="1440" w:header="720" w:footer="720" w:gutter="0"/>
          <w:cols w:space="720"/>
          <w:docGrid w:linePitch="360"/>
        </w:sectPr>
      </w:pPr>
      <w:r w:rsidRPr="005576E1">
        <w:rPr>
          <w:rFonts w:ascii="Times New Roman" w:hAnsi="Times New Roman" w:cs="Times New Roman"/>
          <w:b/>
          <w:bCs/>
          <w:noProof/>
        </w:rPr>
        <w:lastRenderedPageBreak/>
        <w:drawing>
          <wp:anchor distT="0" distB="0" distL="114300" distR="114300" simplePos="0" relativeHeight="251695104" behindDoc="1" locked="0" layoutInCell="1" allowOverlap="1" wp14:anchorId="6D4B6FC1" wp14:editId="020B2D69">
            <wp:simplePos x="0" y="0"/>
            <wp:positionH relativeFrom="column">
              <wp:posOffset>4257675</wp:posOffset>
            </wp:positionH>
            <wp:positionV relativeFrom="paragraph">
              <wp:posOffset>180975</wp:posOffset>
            </wp:positionV>
            <wp:extent cx="4170045" cy="5751830"/>
            <wp:effectExtent l="0" t="0" r="1905" b="1270"/>
            <wp:wrapTight wrapText="bothSides">
              <wp:wrapPolygon edited="0">
                <wp:start x="0" y="0"/>
                <wp:lineTo x="0" y="21533"/>
                <wp:lineTo x="21511" y="21533"/>
                <wp:lineTo x="21511"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70045" cy="5751830"/>
                    </a:xfrm>
                    <a:prstGeom prst="rect">
                      <a:avLst/>
                    </a:prstGeom>
                  </pic:spPr>
                </pic:pic>
              </a:graphicData>
            </a:graphic>
            <wp14:sizeRelH relativeFrom="margin">
              <wp14:pctWidth>0</wp14:pctWidth>
            </wp14:sizeRelH>
            <wp14:sizeRelV relativeFrom="margin">
              <wp14:pctHeight>0</wp14:pctHeight>
            </wp14:sizeRelV>
          </wp:anchor>
        </w:drawing>
      </w:r>
      <w:r w:rsidRPr="005576E1">
        <w:rPr>
          <w:rFonts w:ascii="Times New Roman" w:hAnsi="Times New Roman" w:cs="Times New Roman"/>
          <w:b/>
          <w:bCs/>
          <w:noProof/>
        </w:rPr>
        <w:drawing>
          <wp:anchor distT="0" distB="0" distL="114300" distR="114300" simplePos="0" relativeHeight="251696128" behindDoc="1" locked="0" layoutInCell="1" allowOverlap="1" wp14:anchorId="01D9D703" wp14:editId="1D1A349C">
            <wp:simplePos x="0" y="0"/>
            <wp:positionH relativeFrom="column">
              <wp:posOffset>-48260</wp:posOffset>
            </wp:positionH>
            <wp:positionV relativeFrom="paragraph">
              <wp:posOffset>187325</wp:posOffset>
            </wp:positionV>
            <wp:extent cx="4211320" cy="5751195"/>
            <wp:effectExtent l="0" t="0" r="0" b="1905"/>
            <wp:wrapTight wrapText="bothSides">
              <wp:wrapPolygon edited="0">
                <wp:start x="0" y="0"/>
                <wp:lineTo x="0" y="21536"/>
                <wp:lineTo x="21496" y="21536"/>
                <wp:lineTo x="214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211320" cy="5751195"/>
                    </a:xfrm>
                    <a:prstGeom prst="rect">
                      <a:avLst/>
                    </a:prstGeom>
                  </pic:spPr>
                </pic:pic>
              </a:graphicData>
            </a:graphic>
            <wp14:sizeRelH relativeFrom="margin">
              <wp14:pctWidth>0</wp14:pctWidth>
            </wp14:sizeRelH>
            <wp14:sizeRelV relativeFrom="margin">
              <wp14:pctHeight>0</wp14:pctHeight>
            </wp14:sizeRelV>
          </wp:anchor>
        </w:drawing>
      </w:r>
      <w:r w:rsidRPr="005576E1">
        <w:rPr>
          <w:rFonts w:ascii="Times New Roman" w:eastAsiaTheme="minorEastAsia" w:hAnsi="Times New Roman" w:cs="Times New Roman"/>
          <w:b/>
          <w:bCs/>
        </w:rPr>
        <w:t xml:space="preserve">Figure 1:  Map </w:t>
      </w:r>
      <w:r w:rsidRPr="005576E1">
        <w:rPr>
          <w:rFonts w:ascii="Times New Roman" w:hAnsi="Times New Roman" w:cs="Times New Roman"/>
          <w:b/>
          <w:bCs/>
        </w:rPr>
        <w:t xml:space="preserve">of TIF Districts in Kansas City                                                </w:t>
      </w:r>
      <w:r w:rsidRPr="005576E1">
        <w:rPr>
          <w:rFonts w:ascii="Times New Roman" w:eastAsiaTheme="minorEastAsia" w:hAnsi="Times New Roman" w:cs="Times New Roman"/>
          <w:b/>
          <w:bCs/>
        </w:rPr>
        <w:t xml:space="preserve">Figure 2:  Map </w:t>
      </w:r>
      <w:r w:rsidRPr="005576E1">
        <w:rPr>
          <w:rFonts w:ascii="Times New Roman" w:hAnsi="Times New Roman" w:cs="Times New Roman"/>
          <w:b/>
          <w:bCs/>
        </w:rPr>
        <w:t xml:space="preserve">of TIF Districts in Saint Louis City and County. </w:t>
      </w:r>
    </w:p>
    <w:p w14:paraId="383B0F92" w14:textId="77777777" w:rsidR="00581B12" w:rsidRDefault="00581B12" w:rsidP="00581B12">
      <w:pPr>
        <w:tabs>
          <w:tab w:val="left" w:pos="5460"/>
        </w:tabs>
        <w:ind w:left="0"/>
        <w:rPr>
          <w:rFonts w:ascii="Times New Roman" w:hAnsi="Times New Roman" w:cs="Times New Roman"/>
          <w:b/>
          <w:bCs/>
          <w:sz w:val="20"/>
          <w:szCs w:val="20"/>
        </w:rPr>
      </w:pPr>
    </w:p>
    <w:p w14:paraId="2547A644" w14:textId="05D0D9AA" w:rsidR="00581B12" w:rsidRPr="005576E1" w:rsidRDefault="00581B12" w:rsidP="00581B12">
      <w:pPr>
        <w:tabs>
          <w:tab w:val="left" w:pos="5460"/>
        </w:tabs>
        <w:ind w:left="0"/>
        <w:rPr>
          <w:rFonts w:ascii="Times New Roman" w:hAnsi="Times New Roman" w:cs="Times New Roman"/>
          <w:b/>
          <w:bCs/>
          <w:sz w:val="20"/>
          <w:szCs w:val="20"/>
        </w:rPr>
      </w:pPr>
      <w:r w:rsidRPr="005576E1">
        <w:rPr>
          <w:rFonts w:ascii="Times New Roman" w:hAnsi="Times New Roman" w:cs="Times New Roman"/>
          <w:b/>
          <w:bCs/>
          <w:sz w:val="20"/>
          <w:szCs w:val="20"/>
        </w:rPr>
        <w:t>Figure 3: Application of Propensity Score weighting. Top two panels show the propensity scores before matching. The bottom two panels show the propensity scores after matching.</w:t>
      </w:r>
    </w:p>
    <w:p w14:paraId="12CF3544" w14:textId="45906628" w:rsidR="00361445" w:rsidRDefault="00581B12" w:rsidP="005576E1">
      <w:pPr>
        <w:widowControl w:val="0"/>
        <w:autoSpaceDE w:val="0"/>
        <w:autoSpaceDN w:val="0"/>
        <w:adjustRightInd w:val="0"/>
        <w:spacing w:before="66" w:after="66"/>
        <w:ind w:left="0"/>
        <w:rPr>
          <w:rFonts w:ascii="Times New Roman" w:hAnsi="Times New Roman" w:cs="Times New Roman"/>
          <w:sz w:val="24"/>
          <w:szCs w:val="24"/>
        </w:rPr>
      </w:pPr>
      <w:r w:rsidRPr="005576E1">
        <w:rPr>
          <w:rFonts w:ascii="Times New Roman" w:hAnsi="Times New Roman" w:cs="Times New Roman"/>
          <w:b/>
          <w:bCs/>
          <w:noProof/>
        </w:rPr>
        <w:drawing>
          <wp:anchor distT="0" distB="0" distL="114300" distR="114300" simplePos="0" relativeHeight="251693056" behindDoc="1" locked="0" layoutInCell="1" allowOverlap="1" wp14:anchorId="2D2B8D5B" wp14:editId="15DE2D6D">
            <wp:simplePos x="0" y="0"/>
            <wp:positionH relativeFrom="column">
              <wp:posOffset>180975</wp:posOffset>
            </wp:positionH>
            <wp:positionV relativeFrom="paragraph">
              <wp:posOffset>197485</wp:posOffset>
            </wp:positionV>
            <wp:extent cx="5267325" cy="3768725"/>
            <wp:effectExtent l="0" t="0" r="9525" b="3175"/>
            <wp:wrapTight wrapText="bothSides">
              <wp:wrapPolygon edited="0">
                <wp:start x="0" y="0"/>
                <wp:lineTo x="0" y="21509"/>
                <wp:lineTo x="21561" y="21509"/>
                <wp:lineTo x="2156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267325" cy="3768725"/>
                    </a:xfrm>
                    <a:prstGeom prst="rect">
                      <a:avLst/>
                    </a:prstGeom>
                  </pic:spPr>
                </pic:pic>
              </a:graphicData>
            </a:graphic>
            <wp14:sizeRelH relativeFrom="margin">
              <wp14:pctWidth>0</wp14:pctWidth>
            </wp14:sizeRelH>
            <wp14:sizeRelV relativeFrom="margin">
              <wp14:pctHeight>0</wp14:pctHeight>
            </wp14:sizeRelV>
          </wp:anchor>
        </w:drawing>
      </w:r>
    </w:p>
    <w:p w14:paraId="49E8DAAB" w14:textId="584BA4D7" w:rsidR="001559DB" w:rsidRDefault="001559DB" w:rsidP="00581B12">
      <w:pPr>
        <w:pStyle w:val="Heading1"/>
        <w:spacing w:line="480" w:lineRule="auto"/>
        <w:rPr>
          <w:rFonts w:ascii="Times New Roman" w:hAnsi="Times New Roman" w:cs="Times New Roman"/>
          <w:b/>
          <w:bCs/>
          <w:sz w:val="30"/>
          <w:szCs w:val="30"/>
        </w:rPr>
      </w:pPr>
    </w:p>
    <w:p w14:paraId="68FFB753" w14:textId="35915A23" w:rsidR="00581B12" w:rsidRDefault="00581B12" w:rsidP="00581B12"/>
    <w:p w14:paraId="243BBA85" w14:textId="2DFD28AD" w:rsidR="00581B12" w:rsidRDefault="00581B12" w:rsidP="00581B12"/>
    <w:p w14:paraId="640E4BFD" w14:textId="41CD7DB3" w:rsidR="00581B12" w:rsidRDefault="00581B12" w:rsidP="00581B12"/>
    <w:p w14:paraId="035C1100" w14:textId="0B76A893" w:rsidR="00581B12" w:rsidRDefault="00581B12" w:rsidP="00581B12"/>
    <w:p w14:paraId="622DBD55" w14:textId="32FA9F57" w:rsidR="00581B12" w:rsidRDefault="00581B12" w:rsidP="00581B12"/>
    <w:p w14:paraId="53BFA911" w14:textId="102B01D0" w:rsidR="00581B12" w:rsidRDefault="00581B12" w:rsidP="00581B12"/>
    <w:p w14:paraId="5CF144BA" w14:textId="0774CEA5" w:rsidR="00581B12" w:rsidRDefault="00581B12" w:rsidP="00581B12"/>
    <w:p w14:paraId="272843B8" w14:textId="3EE5115A" w:rsidR="00581B12" w:rsidRDefault="00581B12" w:rsidP="00581B12"/>
    <w:p w14:paraId="74D77B11" w14:textId="35C1A7C8" w:rsidR="00581B12" w:rsidRDefault="00581B12" w:rsidP="00581B12"/>
    <w:p w14:paraId="614E7447" w14:textId="1CCC8513" w:rsidR="00581B12" w:rsidRDefault="00581B12" w:rsidP="00581B12"/>
    <w:p w14:paraId="6D19F521" w14:textId="556DC9FB" w:rsidR="00581B12" w:rsidRDefault="00581B12" w:rsidP="00581B12"/>
    <w:p w14:paraId="6FEA8EAD" w14:textId="5489ABFA" w:rsidR="00581B12" w:rsidRDefault="00581B12" w:rsidP="00581B12"/>
    <w:p w14:paraId="4097659F" w14:textId="1FFFE648" w:rsidR="00581B12" w:rsidRDefault="00581B12" w:rsidP="00581B12"/>
    <w:p w14:paraId="37322DA6" w14:textId="5D794924" w:rsidR="00581B12" w:rsidRDefault="00581B12" w:rsidP="00581B12"/>
    <w:p w14:paraId="10F7C0C6" w14:textId="304AD28A" w:rsidR="00581B12" w:rsidRDefault="00581B12" w:rsidP="00581B12"/>
    <w:p w14:paraId="417BD3D8" w14:textId="37E3D5C2" w:rsidR="00581B12" w:rsidRDefault="00581B12" w:rsidP="00581B12"/>
    <w:p w14:paraId="3A8C3809" w14:textId="0ADF1338" w:rsidR="00581B12" w:rsidRDefault="00581B12" w:rsidP="00581B12"/>
    <w:p w14:paraId="2AF1124D" w14:textId="1B25B536" w:rsidR="00581B12" w:rsidRDefault="00581B12" w:rsidP="00581B12"/>
    <w:p w14:paraId="10A5A2E0" w14:textId="5B2B6ACA" w:rsidR="00581B12" w:rsidRDefault="00581B12" w:rsidP="00581B12"/>
    <w:p w14:paraId="2BACB48E" w14:textId="5E9337B4" w:rsidR="00581B12" w:rsidRDefault="00581B12" w:rsidP="00581B12"/>
    <w:p w14:paraId="12E999E7" w14:textId="2F044875" w:rsidR="00581B12" w:rsidRPr="005576E1" w:rsidRDefault="00F547D0" w:rsidP="00F547D0">
      <w:pPr>
        <w:ind w:left="0"/>
        <w:rPr>
          <w:rFonts w:ascii="Times New Roman" w:hAnsi="Times New Roman" w:cs="Times New Roman"/>
          <w:b/>
          <w:bCs/>
          <w:sz w:val="20"/>
          <w:szCs w:val="20"/>
        </w:rPr>
      </w:pPr>
      <w:r w:rsidRPr="005576E1">
        <w:rPr>
          <w:rFonts w:ascii="Times New Roman" w:hAnsi="Times New Roman" w:cs="Times New Roman"/>
          <w:b/>
          <w:bCs/>
          <w:noProof/>
          <w:sz w:val="20"/>
          <w:szCs w:val="20"/>
        </w:rPr>
        <w:drawing>
          <wp:anchor distT="0" distB="0" distL="114300" distR="114300" simplePos="0" relativeHeight="251699200" behindDoc="0" locked="0" layoutInCell="1" allowOverlap="1" wp14:anchorId="201FF08E" wp14:editId="099D360B">
            <wp:simplePos x="0" y="0"/>
            <wp:positionH relativeFrom="column">
              <wp:posOffset>3100705</wp:posOffset>
            </wp:positionH>
            <wp:positionV relativeFrom="paragraph">
              <wp:posOffset>460375</wp:posOffset>
            </wp:positionV>
            <wp:extent cx="3455035" cy="2105025"/>
            <wp:effectExtent l="0" t="0" r="12065" b="9525"/>
            <wp:wrapSquare wrapText="bothSides"/>
            <wp:docPr id="18" name="Chart 18">
              <a:extLst xmlns:a="http://schemas.openxmlformats.org/drawingml/2006/main">
                <a:ext uri="{FF2B5EF4-FFF2-40B4-BE49-F238E27FC236}">
                  <a16:creationId xmlns:a16="http://schemas.microsoft.com/office/drawing/2014/main" id="{5376998B-C5E2-4D25-A4AF-C57BF60BA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5576E1">
        <w:rPr>
          <w:rFonts w:ascii="Times New Roman" w:hAnsi="Times New Roman" w:cs="Times New Roman"/>
          <w:b/>
          <w:bCs/>
          <w:noProof/>
          <w:sz w:val="20"/>
          <w:szCs w:val="20"/>
        </w:rPr>
        <w:drawing>
          <wp:anchor distT="0" distB="0" distL="114300" distR="114300" simplePos="0" relativeHeight="251698176" behindDoc="0" locked="0" layoutInCell="1" allowOverlap="1" wp14:anchorId="26C1E832" wp14:editId="63A03C8B">
            <wp:simplePos x="0" y="0"/>
            <wp:positionH relativeFrom="column">
              <wp:posOffset>-311150</wp:posOffset>
            </wp:positionH>
            <wp:positionV relativeFrom="paragraph">
              <wp:posOffset>460375</wp:posOffset>
            </wp:positionV>
            <wp:extent cx="3401695" cy="2105025"/>
            <wp:effectExtent l="0" t="0" r="8255" b="9525"/>
            <wp:wrapSquare wrapText="bothSides"/>
            <wp:docPr id="17" name="Chart 17">
              <a:extLst xmlns:a="http://schemas.openxmlformats.org/drawingml/2006/main">
                <a:ext uri="{FF2B5EF4-FFF2-40B4-BE49-F238E27FC236}">
                  <a16:creationId xmlns:a16="http://schemas.microsoft.com/office/drawing/2014/main" id="{F600A0AB-1D8F-4AAE-9B5E-082E19D8C7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581B12" w:rsidRPr="005576E1">
        <w:rPr>
          <w:rFonts w:ascii="Times New Roman" w:hAnsi="Times New Roman" w:cs="Times New Roman"/>
          <w:b/>
          <w:bCs/>
          <w:sz w:val="20"/>
          <w:szCs w:val="20"/>
        </w:rPr>
        <w:t xml:space="preserve">Figure </w:t>
      </w:r>
      <w:r>
        <w:rPr>
          <w:rFonts w:ascii="Times New Roman" w:hAnsi="Times New Roman" w:cs="Times New Roman"/>
          <w:b/>
          <w:bCs/>
          <w:sz w:val="20"/>
          <w:szCs w:val="20"/>
        </w:rPr>
        <w:t>4</w:t>
      </w:r>
      <w:r w:rsidR="00581B12" w:rsidRPr="005576E1">
        <w:rPr>
          <w:rFonts w:ascii="Times New Roman" w:hAnsi="Times New Roman" w:cs="Times New Roman"/>
          <w:b/>
          <w:bCs/>
          <w:sz w:val="20"/>
          <w:szCs w:val="20"/>
        </w:rPr>
        <w:t>: Time-path of TIF Impacts on Employment. Impact on natural log of total employment, 3 years</w:t>
      </w:r>
      <w:r w:rsidR="00581B12">
        <w:rPr>
          <w:rFonts w:ascii="Times New Roman" w:hAnsi="Times New Roman" w:cs="Times New Roman"/>
          <w:b/>
          <w:bCs/>
          <w:sz w:val="20"/>
          <w:szCs w:val="20"/>
        </w:rPr>
        <w:t xml:space="preserve"> </w:t>
      </w:r>
      <w:r w:rsidR="00581B12" w:rsidRPr="005576E1">
        <w:rPr>
          <w:rFonts w:ascii="Times New Roman" w:hAnsi="Times New Roman" w:cs="Times New Roman"/>
          <w:b/>
          <w:bCs/>
          <w:sz w:val="20"/>
          <w:szCs w:val="20"/>
        </w:rPr>
        <w:t>Pre/Post TIF Designation</w:t>
      </w:r>
    </w:p>
    <w:p w14:paraId="50CCD4BF" w14:textId="58F8B33F" w:rsidR="00581B12" w:rsidRDefault="00581B12" w:rsidP="00581B12"/>
    <w:p w14:paraId="58014C8E" w14:textId="5E165E70" w:rsidR="00581B12" w:rsidRDefault="00581B12" w:rsidP="00581B12"/>
    <w:p w14:paraId="1B31E779" w14:textId="7F2AA9E6" w:rsidR="00581B12" w:rsidRDefault="00581B12" w:rsidP="00581B12"/>
    <w:p w14:paraId="22C4E261" w14:textId="726A03E7" w:rsidR="00581B12" w:rsidRDefault="00581B12" w:rsidP="00581B12"/>
    <w:p w14:paraId="6824B7BE" w14:textId="77777777" w:rsidR="00F547D0" w:rsidRDefault="00F547D0" w:rsidP="00581B12"/>
    <w:p w14:paraId="303B0E5C" w14:textId="342D537E" w:rsidR="000F443A" w:rsidRPr="005576E1" w:rsidRDefault="00F30883" w:rsidP="00B77519">
      <w:pPr>
        <w:spacing w:line="480" w:lineRule="auto"/>
        <w:ind w:left="0"/>
        <w:jc w:val="center"/>
        <w:rPr>
          <w:rFonts w:ascii="Times New Roman" w:hAnsi="Times New Roman" w:cs="Times New Roman"/>
        </w:rPr>
      </w:pPr>
      <w:r w:rsidRPr="005576E1">
        <w:rPr>
          <w:rFonts w:ascii="Times New Roman" w:hAnsi="Times New Roman" w:cs="Times New Roman"/>
          <w:b/>
          <w:bCs/>
          <w:sz w:val="30"/>
          <w:szCs w:val="30"/>
        </w:rPr>
        <w:lastRenderedPageBreak/>
        <w:t>Appendix</w:t>
      </w:r>
      <w:r w:rsidR="00A44C9B" w:rsidRPr="005576E1">
        <w:rPr>
          <w:rFonts w:ascii="Times New Roman" w:hAnsi="Times New Roman" w:cs="Times New Roman"/>
          <w:b/>
          <w:bCs/>
          <w:sz w:val="30"/>
          <w:szCs w:val="30"/>
        </w:rPr>
        <w:t xml:space="preserve"> A</w:t>
      </w:r>
      <w:r w:rsidR="00BB6F74" w:rsidRPr="005576E1">
        <w:rPr>
          <w:rFonts w:ascii="Times New Roman" w:hAnsi="Times New Roman" w:cs="Times New Roman"/>
          <w:b/>
          <w:bCs/>
          <w:sz w:val="30"/>
          <w:szCs w:val="30"/>
        </w:rPr>
        <w:t>:</w:t>
      </w:r>
      <w:r w:rsidR="00A44C9B" w:rsidRPr="005576E1">
        <w:rPr>
          <w:rFonts w:ascii="Times New Roman" w:hAnsi="Times New Roman" w:cs="Times New Roman"/>
          <w:b/>
          <w:bCs/>
          <w:sz w:val="30"/>
          <w:szCs w:val="30"/>
        </w:rPr>
        <w:t xml:space="preserve"> </w:t>
      </w:r>
      <w:r w:rsidR="000F443A" w:rsidRPr="005576E1">
        <w:rPr>
          <w:rFonts w:ascii="Times New Roman" w:hAnsi="Times New Roman" w:cs="Times New Roman"/>
          <w:b/>
          <w:bCs/>
          <w:sz w:val="30"/>
          <w:szCs w:val="30"/>
        </w:rPr>
        <w:t>Descriptive statistics</w:t>
      </w:r>
    </w:p>
    <w:p w14:paraId="7DECB42E" w14:textId="4C2FD538" w:rsidR="00416399" w:rsidRPr="0022328A" w:rsidRDefault="007B7707" w:rsidP="0022328A">
      <w:pPr>
        <w:spacing w:line="480" w:lineRule="auto"/>
        <w:ind w:left="0"/>
        <w:rPr>
          <w:rFonts w:ascii="Times New Roman" w:hAnsi="Times New Roman" w:cs="Times New Roman"/>
          <w:sz w:val="24"/>
          <w:szCs w:val="24"/>
        </w:rPr>
      </w:pPr>
      <w:r>
        <w:rPr>
          <w:noProof/>
        </w:rPr>
        <w:drawing>
          <wp:inline distT="0" distB="0" distL="0" distR="0" wp14:anchorId="62139BCF" wp14:editId="254D4591">
            <wp:extent cx="4892675" cy="594360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92675" cy="5943600"/>
                    </a:xfrm>
                    <a:prstGeom prst="rect">
                      <a:avLst/>
                    </a:prstGeom>
                  </pic:spPr>
                </pic:pic>
              </a:graphicData>
            </a:graphic>
          </wp:inline>
        </w:drawing>
      </w:r>
    </w:p>
    <w:p w14:paraId="7CC950B4" w14:textId="77777777" w:rsidR="00416399" w:rsidRPr="005576E1" w:rsidRDefault="00416399" w:rsidP="001559DB">
      <w:pPr>
        <w:pStyle w:val="ListParagraph"/>
        <w:widowControl w:val="0"/>
        <w:autoSpaceDE w:val="0"/>
        <w:autoSpaceDN w:val="0"/>
        <w:adjustRightInd w:val="0"/>
        <w:spacing w:before="66" w:after="66"/>
        <w:jc w:val="center"/>
        <w:rPr>
          <w:rFonts w:ascii="Times New Roman" w:hAnsi="Times New Roman" w:cs="Times New Roman"/>
          <w:sz w:val="24"/>
          <w:szCs w:val="24"/>
        </w:rPr>
      </w:pPr>
    </w:p>
    <w:p w14:paraId="5229FD4E" w14:textId="77777777" w:rsidR="00416399" w:rsidRPr="005576E1" w:rsidRDefault="00416399" w:rsidP="001559DB">
      <w:pPr>
        <w:pStyle w:val="ListParagraph"/>
        <w:widowControl w:val="0"/>
        <w:autoSpaceDE w:val="0"/>
        <w:autoSpaceDN w:val="0"/>
        <w:adjustRightInd w:val="0"/>
        <w:spacing w:before="66" w:after="66"/>
        <w:jc w:val="center"/>
        <w:rPr>
          <w:rFonts w:ascii="Times New Roman" w:hAnsi="Times New Roman" w:cs="Times New Roman"/>
          <w:sz w:val="24"/>
          <w:szCs w:val="24"/>
        </w:rPr>
      </w:pPr>
    </w:p>
    <w:p w14:paraId="22293435" w14:textId="77777777" w:rsidR="00416399" w:rsidRPr="005576E1" w:rsidRDefault="00416399" w:rsidP="001559DB">
      <w:pPr>
        <w:pStyle w:val="ListParagraph"/>
        <w:widowControl w:val="0"/>
        <w:autoSpaceDE w:val="0"/>
        <w:autoSpaceDN w:val="0"/>
        <w:adjustRightInd w:val="0"/>
        <w:spacing w:before="66" w:after="66"/>
        <w:jc w:val="center"/>
        <w:rPr>
          <w:rFonts w:ascii="Times New Roman" w:hAnsi="Times New Roman" w:cs="Times New Roman"/>
          <w:sz w:val="24"/>
          <w:szCs w:val="24"/>
        </w:rPr>
      </w:pPr>
    </w:p>
    <w:p w14:paraId="21C4A37B" w14:textId="77777777" w:rsidR="00416399" w:rsidRPr="005576E1" w:rsidRDefault="00416399" w:rsidP="001559DB">
      <w:pPr>
        <w:pStyle w:val="ListParagraph"/>
        <w:widowControl w:val="0"/>
        <w:autoSpaceDE w:val="0"/>
        <w:autoSpaceDN w:val="0"/>
        <w:adjustRightInd w:val="0"/>
        <w:spacing w:before="66" w:after="66"/>
        <w:jc w:val="center"/>
        <w:rPr>
          <w:rFonts w:ascii="Times New Roman" w:hAnsi="Times New Roman" w:cs="Times New Roman"/>
          <w:sz w:val="24"/>
          <w:szCs w:val="24"/>
        </w:rPr>
      </w:pPr>
    </w:p>
    <w:p w14:paraId="6058ECF8" w14:textId="77777777" w:rsidR="00DC41D2" w:rsidRPr="005576E1" w:rsidRDefault="00DC41D2" w:rsidP="001559DB">
      <w:pPr>
        <w:ind w:left="0"/>
        <w:rPr>
          <w:rFonts w:ascii="Times New Roman" w:hAnsi="Times New Roman" w:cs="Times New Roman"/>
          <w:b/>
          <w:bCs/>
          <w:sz w:val="30"/>
          <w:szCs w:val="30"/>
        </w:rPr>
        <w:sectPr w:rsidR="00DC41D2" w:rsidRPr="005576E1" w:rsidSect="007B7707">
          <w:pgSz w:w="12240" w:h="15840"/>
          <w:pgMar w:top="1440" w:right="1440" w:bottom="1440" w:left="1440" w:header="720" w:footer="720" w:gutter="0"/>
          <w:cols w:space="720"/>
          <w:docGrid w:linePitch="360"/>
        </w:sectPr>
      </w:pPr>
    </w:p>
    <w:p w14:paraId="142E8272" w14:textId="37223572" w:rsidR="005D3426" w:rsidRPr="005576E1" w:rsidRDefault="0065687C" w:rsidP="008227D3">
      <w:pPr>
        <w:spacing w:line="480" w:lineRule="auto"/>
        <w:ind w:left="0"/>
        <w:rPr>
          <w:rFonts w:ascii="Times New Roman" w:hAnsi="Times New Roman" w:cs="Times New Roman"/>
          <w:b/>
          <w:bCs/>
          <w:sz w:val="40"/>
          <w:szCs w:val="40"/>
        </w:rPr>
      </w:pPr>
      <w:r w:rsidRPr="005576E1">
        <w:rPr>
          <w:rFonts w:ascii="Times New Roman" w:hAnsi="Times New Roman" w:cs="Times New Roman"/>
          <w:b/>
          <w:bCs/>
          <w:sz w:val="40"/>
          <w:szCs w:val="40"/>
        </w:rPr>
        <w:lastRenderedPageBreak/>
        <w:t>References</w:t>
      </w:r>
      <w:r w:rsidR="008227D3">
        <w:rPr>
          <w:rFonts w:ascii="Times New Roman" w:hAnsi="Times New Roman" w:cs="Times New Roman"/>
          <w:b/>
          <w:bCs/>
          <w:sz w:val="40"/>
          <w:szCs w:val="40"/>
        </w:rPr>
        <w:fldChar w:fldCharType="begin"/>
      </w:r>
      <w:r w:rsidR="008227D3">
        <w:rPr>
          <w:rFonts w:ascii="Times New Roman" w:hAnsi="Times New Roman" w:cs="Times New Roman"/>
          <w:b/>
          <w:bCs/>
          <w:sz w:val="40"/>
          <w:szCs w:val="40"/>
        </w:rPr>
        <w:instrText xml:space="preserve"> ADDIN ZOTERO_ITEM CSL_CITATION {"citationID":"WZDOcrch","properties":{"formattedCitation":"(Leigh and Blakely 2016; Warner and Zheng 2011)","plainCitation":"(Leigh and Blakely 2016; Warner and Zheng 2011)"},"citationItems":[{"id":186,"uris":["http://zotero.org/users/local/sNCqxxLT/items/8MDEJWWG"],"uri":["http://zotero.org/users/local/sNCqxxLT/items/8MDEJWWG"],"itemData":{"id":186,"type":"book","title":"Planning local economic development: Theory and practice.","publisher":"Sage Publications","author":[{"family":"Leigh","given":"Nancy Green"},{"family":"Blakely","given":"Edward J"}],"issued":{"date-parts":[["2016"]]}}},{"id":187,"uris":["http://zotero.org/users/local/sNCqxxLT/items/EURFA62U"],"uri":["http://zotero.org/users/local/sNCqxxLT/items/EURFA62U"],"itemData":{"id":187,"type":"article-journal","title":"Economic development strategies for recessionary times: Survey results from 2009. The ICMA Municipal Year Book 2011","page":"33-42","journalAbbreviation":"The ICMA Municipal Year Book 2011","author":[{"family":"Warner","given":"Mildrew"},{"family":"Zheng","given":"Lingwen"}],"issued":{"date-parts":[["2011"]]}}}],"schema":"https://github.com/citation-style-language/schema/raw/master/csl-citation.json"} </w:instrText>
      </w:r>
      <w:r w:rsidR="008227D3">
        <w:rPr>
          <w:rFonts w:ascii="Times New Roman" w:hAnsi="Times New Roman" w:cs="Times New Roman"/>
          <w:b/>
          <w:bCs/>
          <w:sz w:val="40"/>
          <w:szCs w:val="40"/>
        </w:rPr>
        <w:fldChar w:fldCharType="end"/>
      </w:r>
    </w:p>
    <w:p w14:paraId="77CA20CF" w14:textId="77777777" w:rsidR="008227D3" w:rsidRPr="008227D3" w:rsidRDefault="00F62945" w:rsidP="008227D3">
      <w:pPr>
        <w:pStyle w:val="Bibliography"/>
        <w:rPr>
          <w:rFonts w:ascii="Calibri" w:hAnsi="Calibri" w:cs="Calibri"/>
        </w:rPr>
      </w:pPr>
      <w:r w:rsidRPr="005576E1">
        <w:rPr>
          <w:noProof/>
        </w:rPr>
        <w:fldChar w:fldCharType="begin"/>
      </w:r>
      <w:r w:rsidR="008227D3">
        <w:rPr>
          <w:noProof/>
        </w:rPr>
        <w:instrText xml:space="preserve"> ADDIN ZOTERO_BIBL {"custom":[]} CSL_BIBLIOGRAPHY </w:instrText>
      </w:r>
      <w:r w:rsidRPr="005576E1">
        <w:rPr>
          <w:noProof/>
        </w:rPr>
        <w:fldChar w:fldCharType="separate"/>
      </w:r>
      <w:r w:rsidR="008227D3" w:rsidRPr="008227D3">
        <w:rPr>
          <w:rFonts w:ascii="Calibri" w:hAnsi="Calibri" w:cs="Calibri"/>
        </w:rPr>
        <w:t xml:space="preserve">Ashfelter, Orly, and David Card. 1985. “Using the Longitudinal Structure of Earnings to Estimate the Effect of Training Programs.” </w:t>
      </w:r>
      <w:r w:rsidR="008227D3" w:rsidRPr="008227D3">
        <w:rPr>
          <w:rFonts w:ascii="Calibri" w:hAnsi="Calibri" w:cs="Calibri"/>
          <w:i/>
          <w:iCs/>
        </w:rPr>
        <w:t>The Review of Economics and Statistics</w:t>
      </w:r>
      <w:r w:rsidR="008227D3" w:rsidRPr="008227D3">
        <w:rPr>
          <w:rFonts w:ascii="Calibri" w:hAnsi="Calibri" w:cs="Calibri"/>
        </w:rPr>
        <w:t>, 649–60.</w:t>
      </w:r>
    </w:p>
    <w:p w14:paraId="20598E8D" w14:textId="77777777" w:rsidR="008227D3" w:rsidRPr="008227D3" w:rsidRDefault="008227D3" w:rsidP="008227D3">
      <w:pPr>
        <w:pStyle w:val="Bibliography"/>
        <w:rPr>
          <w:rFonts w:ascii="Calibri" w:hAnsi="Calibri" w:cs="Calibri"/>
        </w:rPr>
      </w:pPr>
      <w:r w:rsidRPr="008227D3">
        <w:rPr>
          <w:rFonts w:ascii="Calibri" w:hAnsi="Calibri" w:cs="Calibri"/>
        </w:rPr>
        <w:t xml:space="preserve">Byrne, Paul F. 2010. “Does Tax Increment Financing Deliver on Its Promise of Jobs? The Impact of Tax Increment Financing on Municipal Employment Growth.” </w:t>
      </w:r>
      <w:r w:rsidRPr="008227D3">
        <w:rPr>
          <w:rFonts w:ascii="Calibri" w:hAnsi="Calibri" w:cs="Calibri"/>
          <w:i/>
          <w:iCs/>
        </w:rPr>
        <w:t>SAGE Publications Sage CA: Los Angeles, CA</w:t>
      </w:r>
      <w:r w:rsidRPr="008227D3">
        <w:rPr>
          <w:rFonts w:ascii="Calibri" w:hAnsi="Calibri" w:cs="Calibri"/>
        </w:rPr>
        <w:t xml:space="preserve"> 24 (1):13–22.</w:t>
      </w:r>
    </w:p>
    <w:p w14:paraId="26BE79B0" w14:textId="77777777" w:rsidR="008227D3" w:rsidRPr="008227D3" w:rsidRDefault="008227D3" w:rsidP="008227D3">
      <w:pPr>
        <w:pStyle w:val="Bibliography"/>
        <w:rPr>
          <w:rFonts w:ascii="Calibri" w:hAnsi="Calibri" w:cs="Calibri"/>
        </w:rPr>
      </w:pPr>
      <w:r w:rsidRPr="008227D3">
        <w:rPr>
          <w:rFonts w:ascii="Calibri" w:hAnsi="Calibri" w:cs="Calibri"/>
        </w:rPr>
        <w:t>Coffin, Sarah. 2015. “Tax Increment Financing in St Louis County, 2000-2012.” Applied Research Collaborative. https://pprc.umsl.edu/pprc.umsl.edu/data/tif-legislative.pdf.</w:t>
      </w:r>
    </w:p>
    <w:p w14:paraId="744F0CD5" w14:textId="77777777" w:rsidR="008227D3" w:rsidRPr="008227D3" w:rsidRDefault="008227D3" w:rsidP="008227D3">
      <w:pPr>
        <w:pStyle w:val="Bibliography"/>
        <w:rPr>
          <w:rFonts w:ascii="Calibri" w:hAnsi="Calibri" w:cs="Calibri"/>
        </w:rPr>
      </w:pPr>
      <w:r w:rsidRPr="008227D3">
        <w:rPr>
          <w:rFonts w:ascii="Calibri" w:hAnsi="Calibri" w:cs="Calibri"/>
        </w:rPr>
        <w:t>Council of Governments. 2011. “An Assessment of the Effectiveness and Fiscal Impacts of the Use of Local Development Incentives in the St. Louis Region: Final Report 35.” East-West Gateway. http://www.ewgateway.org/wp-content/uploads/2017/08/TIFFinalRpt.pdf.</w:t>
      </w:r>
    </w:p>
    <w:p w14:paraId="17AC348D" w14:textId="77777777" w:rsidR="008227D3" w:rsidRPr="008227D3" w:rsidRDefault="008227D3" w:rsidP="008227D3">
      <w:pPr>
        <w:pStyle w:val="Bibliography"/>
        <w:rPr>
          <w:rFonts w:ascii="Calibri" w:hAnsi="Calibri" w:cs="Calibri"/>
        </w:rPr>
      </w:pPr>
      <w:r w:rsidRPr="008227D3">
        <w:rPr>
          <w:rFonts w:ascii="Calibri" w:hAnsi="Calibri" w:cs="Calibri"/>
        </w:rPr>
        <w:t xml:space="preserve">Dube, Arindrajit, T. William Lester, and Michael Reich. 2010. “Minimum Wage Effects across State Borders: Estimates Using Contiguous Counties.” </w:t>
      </w:r>
      <w:r w:rsidRPr="008227D3">
        <w:rPr>
          <w:rFonts w:ascii="Calibri" w:hAnsi="Calibri" w:cs="Calibri"/>
          <w:i/>
          <w:iCs/>
        </w:rPr>
        <w:t>The Review of Economics and Statistics</w:t>
      </w:r>
      <w:r w:rsidRPr="008227D3">
        <w:rPr>
          <w:rFonts w:ascii="Calibri" w:hAnsi="Calibri" w:cs="Calibri"/>
        </w:rPr>
        <w:t xml:space="preserve"> 92 (4):945–64.</w:t>
      </w:r>
    </w:p>
    <w:p w14:paraId="4468D1B9" w14:textId="77777777" w:rsidR="008227D3" w:rsidRPr="008227D3" w:rsidRDefault="008227D3" w:rsidP="008227D3">
      <w:pPr>
        <w:pStyle w:val="Bibliography"/>
        <w:rPr>
          <w:rFonts w:ascii="Calibri" w:hAnsi="Calibri" w:cs="Calibri"/>
        </w:rPr>
      </w:pPr>
      <w:r w:rsidRPr="008227D3">
        <w:rPr>
          <w:rFonts w:ascii="Calibri" w:hAnsi="Calibri" w:cs="Calibri"/>
        </w:rPr>
        <w:t xml:space="preserve">Dye, Richard F., and David F. Merriman. 2000. “The Effects of Tax Increment Financing on Economic Development.” </w:t>
      </w:r>
      <w:r w:rsidRPr="008227D3">
        <w:rPr>
          <w:rFonts w:ascii="Calibri" w:hAnsi="Calibri" w:cs="Calibri"/>
          <w:i/>
          <w:iCs/>
        </w:rPr>
        <w:t>Journal of Urban Economics</w:t>
      </w:r>
      <w:r w:rsidRPr="008227D3">
        <w:rPr>
          <w:rFonts w:ascii="Calibri" w:hAnsi="Calibri" w:cs="Calibri"/>
        </w:rPr>
        <w:t xml:space="preserve"> 47 (2):306–28.</w:t>
      </w:r>
    </w:p>
    <w:p w14:paraId="04429182" w14:textId="77777777" w:rsidR="008227D3" w:rsidRPr="008227D3" w:rsidRDefault="008227D3" w:rsidP="008227D3">
      <w:pPr>
        <w:pStyle w:val="Bibliography"/>
        <w:rPr>
          <w:rFonts w:ascii="Calibri" w:hAnsi="Calibri" w:cs="Calibri"/>
        </w:rPr>
      </w:pPr>
      <w:r w:rsidRPr="008227D3">
        <w:rPr>
          <w:rFonts w:ascii="Calibri" w:hAnsi="Calibri" w:cs="Calibri"/>
        </w:rPr>
        <w:t xml:space="preserve">Fitzgerald, Joan, and Nancey Green. 2002. </w:t>
      </w:r>
      <w:r w:rsidRPr="008227D3">
        <w:rPr>
          <w:rFonts w:ascii="Calibri" w:hAnsi="Calibri" w:cs="Calibri"/>
          <w:i/>
          <w:iCs/>
        </w:rPr>
        <w:t>Economic Revitalization: Cases and Strategies for City and Suburb</w:t>
      </w:r>
      <w:r w:rsidRPr="008227D3">
        <w:rPr>
          <w:rFonts w:ascii="Calibri" w:hAnsi="Calibri" w:cs="Calibri"/>
        </w:rPr>
        <w:t>. Sage.</w:t>
      </w:r>
    </w:p>
    <w:p w14:paraId="08D4DFE7" w14:textId="77777777" w:rsidR="008227D3" w:rsidRPr="008227D3" w:rsidRDefault="008227D3" w:rsidP="008227D3">
      <w:pPr>
        <w:pStyle w:val="Bibliography"/>
        <w:rPr>
          <w:rFonts w:ascii="Calibri" w:hAnsi="Calibri" w:cs="Calibri"/>
        </w:rPr>
      </w:pPr>
      <w:r w:rsidRPr="008227D3">
        <w:rPr>
          <w:rFonts w:ascii="Calibri" w:hAnsi="Calibri" w:cs="Calibri"/>
        </w:rPr>
        <w:t xml:space="preserve">Gibson, Diane. 2003. “Neighborhood Characteristics of Tax Increment Financing in Chicago.” </w:t>
      </w:r>
      <w:r w:rsidRPr="008227D3">
        <w:rPr>
          <w:rFonts w:ascii="Calibri" w:hAnsi="Calibri" w:cs="Calibri"/>
          <w:i/>
          <w:iCs/>
        </w:rPr>
        <w:t>Journal of Urban Economics</w:t>
      </w:r>
      <w:r w:rsidRPr="008227D3">
        <w:rPr>
          <w:rFonts w:ascii="Calibri" w:hAnsi="Calibri" w:cs="Calibri"/>
        </w:rPr>
        <w:t xml:space="preserve"> 54 (2):309–27.</w:t>
      </w:r>
    </w:p>
    <w:p w14:paraId="699E52D1" w14:textId="77777777" w:rsidR="008227D3" w:rsidRPr="008227D3" w:rsidRDefault="008227D3" w:rsidP="008227D3">
      <w:pPr>
        <w:pStyle w:val="Bibliography"/>
        <w:rPr>
          <w:rFonts w:ascii="Calibri" w:hAnsi="Calibri" w:cs="Calibri"/>
        </w:rPr>
      </w:pPr>
      <w:r w:rsidRPr="008227D3">
        <w:rPr>
          <w:rFonts w:ascii="Calibri" w:hAnsi="Calibri" w:cs="Calibri"/>
        </w:rPr>
        <w:t xml:space="preserve">Gillerman, Margaret. 2010. “Walmart Store Gets Bridgeton’s Approval.” </w:t>
      </w:r>
      <w:r w:rsidRPr="008227D3">
        <w:rPr>
          <w:rFonts w:ascii="Calibri" w:hAnsi="Calibri" w:cs="Calibri"/>
          <w:i/>
          <w:iCs/>
        </w:rPr>
        <w:t>St. Louis Post Dispatch</w:t>
      </w:r>
      <w:r w:rsidRPr="008227D3">
        <w:rPr>
          <w:rFonts w:ascii="Calibri" w:hAnsi="Calibri" w:cs="Calibri"/>
        </w:rPr>
        <w:t>, July 8, 2010. http://www.stltoday.com/news/local/metro/walmart-store-gets-bridgeton-s-approval/article_8d158273-5237-5e5d-b0d8-fc23c94dc3ff.html.</w:t>
      </w:r>
    </w:p>
    <w:p w14:paraId="79DC1B13" w14:textId="77777777" w:rsidR="008227D3" w:rsidRPr="008227D3" w:rsidRDefault="008227D3" w:rsidP="008227D3">
      <w:pPr>
        <w:pStyle w:val="Bibliography"/>
        <w:rPr>
          <w:rFonts w:ascii="Calibri" w:hAnsi="Calibri" w:cs="Calibri"/>
        </w:rPr>
      </w:pPr>
      <w:r w:rsidRPr="008227D3">
        <w:rPr>
          <w:rFonts w:ascii="Calibri" w:hAnsi="Calibri" w:cs="Calibri"/>
        </w:rPr>
        <w:t xml:space="preserve">Greenbaum, Robert, and Jim Landers. 2014. “The Tiff Over TIF: A Review of the Literature Examining the Effectiveness of the Tax Increment Financing.” </w:t>
      </w:r>
      <w:r w:rsidRPr="008227D3">
        <w:rPr>
          <w:rFonts w:ascii="Calibri" w:hAnsi="Calibri" w:cs="Calibri"/>
          <w:i/>
          <w:iCs/>
        </w:rPr>
        <w:t>National Tax Journal</w:t>
      </w:r>
      <w:r w:rsidRPr="008227D3">
        <w:rPr>
          <w:rFonts w:ascii="Calibri" w:hAnsi="Calibri" w:cs="Calibri"/>
        </w:rPr>
        <w:t xml:space="preserve"> 67 (3):655.</w:t>
      </w:r>
    </w:p>
    <w:p w14:paraId="0C07B179" w14:textId="77777777" w:rsidR="008227D3" w:rsidRPr="008227D3" w:rsidRDefault="008227D3" w:rsidP="008227D3">
      <w:pPr>
        <w:pStyle w:val="Bibliography"/>
        <w:rPr>
          <w:rFonts w:ascii="Calibri" w:hAnsi="Calibri" w:cs="Calibri"/>
        </w:rPr>
      </w:pPr>
      <w:r w:rsidRPr="008227D3">
        <w:rPr>
          <w:rFonts w:ascii="Calibri" w:hAnsi="Calibri" w:cs="Calibri"/>
        </w:rPr>
        <w:t>Hicks, MJ, Dagney Faulk, and Skritant Deveraj. 2016. “The Fiscal Impact of Tax Increment Financing in Indiana.” Policy Brief, Ball State University Center for Business and Economic Research.</w:t>
      </w:r>
    </w:p>
    <w:p w14:paraId="1E303551" w14:textId="77777777" w:rsidR="008227D3" w:rsidRPr="008227D3" w:rsidRDefault="008227D3" w:rsidP="008227D3">
      <w:pPr>
        <w:pStyle w:val="Bibliography"/>
        <w:rPr>
          <w:rFonts w:ascii="Calibri" w:hAnsi="Calibri" w:cs="Calibri"/>
        </w:rPr>
      </w:pPr>
      <w:r w:rsidRPr="008227D3">
        <w:rPr>
          <w:rFonts w:ascii="Calibri" w:hAnsi="Calibri" w:cs="Calibri"/>
        </w:rPr>
        <w:t>Hicks, MJ, Dagney Faulk, and Pam Quirin. 2015. “Some Economic Effects of Tax Increment Financing in Indiana.” Ball State University Center for Business and Economic Research.</w:t>
      </w:r>
    </w:p>
    <w:p w14:paraId="3A7A2D68" w14:textId="77777777" w:rsidR="008227D3" w:rsidRPr="008227D3" w:rsidRDefault="008227D3" w:rsidP="008227D3">
      <w:pPr>
        <w:pStyle w:val="Bibliography"/>
        <w:rPr>
          <w:rFonts w:ascii="Calibri" w:hAnsi="Calibri" w:cs="Calibri"/>
        </w:rPr>
      </w:pPr>
      <w:r w:rsidRPr="008227D3">
        <w:rPr>
          <w:rFonts w:ascii="Calibri" w:hAnsi="Calibri" w:cs="Calibri"/>
        </w:rPr>
        <w:t xml:space="preserve">Kane, Kevin, and Rachel Weber. 2016. “Municipal Investment and Property Value Appreciation in Chicago’s Tax Increment Financing Districts.” </w:t>
      </w:r>
      <w:r w:rsidRPr="008227D3">
        <w:rPr>
          <w:rFonts w:ascii="Calibri" w:hAnsi="Calibri" w:cs="Calibri"/>
          <w:i/>
          <w:iCs/>
        </w:rPr>
        <w:t>Journal of Planning Education and Research</w:t>
      </w:r>
      <w:r w:rsidRPr="008227D3">
        <w:rPr>
          <w:rFonts w:ascii="Calibri" w:hAnsi="Calibri" w:cs="Calibri"/>
        </w:rPr>
        <w:t xml:space="preserve"> 36 (2):167–81.</w:t>
      </w:r>
    </w:p>
    <w:p w14:paraId="7C2CC578" w14:textId="77777777" w:rsidR="008227D3" w:rsidRPr="008227D3" w:rsidRDefault="008227D3" w:rsidP="008227D3">
      <w:pPr>
        <w:pStyle w:val="Bibliography"/>
        <w:rPr>
          <w:rFonts w:ascii="Calibri" w:hAnsi="Calibri" w:cs="Calibri"/>
        </w:rPr>
      </w:pPr>
      <w:r w:rsidRPr="008227D3">
        <w:rPr>
          <w:rFonts w:ascii="Calibri" w:hAnsi="Calibri" w:cs="Calibri"/>
        </w:rPr>
        <w:t xml:space="preserve">Leigh, Nancy Green, and Edward J Blakely. 2016. </w:t>
      </w:r>
      <w:r w:rsidRPr="008227D3">
        <w:rPr>
          <w:rFonts w:ascii="Calibri" w:hAnsi="Calibri" w:cs="Calibri"/>
          <w:i/>
          <w:iCs/>
        </w:rPr>
        <w:t>Planning Local Economic Development: Theory and Practice.</w:t>
      </w:r>
      <w:r w:rsidRPr="008227D3">
        <w:rPr>
          <w:rFonts w:ascii="Calibri" w:hAnsi="Calibri" w:cs="Calibri"/>
        </w:rPr>
        <w:t xml:space="preserve"> Sage Publications.</w:t>
      </w:r>
    </w:p>
    <w:p w14:paraId="5CA092DD" w14:textId="77777777" w:rsidR="008227D3" w:rsidRPr="008227D3" w:rsidRDefault="008227D3" w:rsidP="008227D3">
      <w:pPr>
        <w:pStyle w:val="Bibliography"/>
        <w:rPr>
          <w:rFonts w:ascii="Calibri" w:hAnsi="Calibri" w:cs="Calibri"/>
        </w:rPr>
      </w:pPr>
      <w:r w:rsidRPr="008227D3">
        <w:rPr>
          <w:rFonts w:ascii="Calibri" w:hAnsi="Calibri" w:cs="Calibri"/>
        </w:rPr>
        <w:t xml:space="preserve">Lester, T. William. 2014. “Does Chicago’s Tax Increment Financing (TIF) Programme Pass the ‘but-For’test? Job Creation and Economic Development Impacts Using Time-Series Data.” </w:t>
      </w:r>
      <w:r w:rsidRPr="008227D3">
        <w:rPr>
          <w:rFonts w:ascii="Calibri" w:hAnsi="Calibri" w:cs="Calibri"/>
          <w:i/>
          <w:iCs/>
        </w:rPr>
        <w:t>Urban Studies</w:t>
      </w:r>
      <w:r w:rsidRPr="008227D3">
        <w:rPr>
          <w:rFonts w:ascii="Calibri" w:hAnsi="Calibri" w:cs="Calibri"/>
        </w:rPr>
        <w:t xml:space="preserve"> 51 (4):655–74.</w:t>
      </w:r>
    </w:p>
    <w:p w14:paraId="172F154F" w14:textId="77777777" w:rsidR="008227D3" w:rsidRPr="008227D3" w:rsidRDefault="008227D3" w:rsidP="008227D3">
      <w:pPr>
        <w:pStyle w:val="Bibliography"/>
        <w:rPr>
          <w:rFonts w:ascii="Calibri" w:hAnsi="Calibri" w:cs="Calibri"/>
        </w:rPr>
      </w:pPr>
      <w:r w:rsidRPr="008227D3">
        <w:rPr>
          <w:rFonts w:ascii="Calibri" w:hAnsi="Calibri" w:cs="Calibri"/>
        </w:rPr>
        <w:t xml:space="preserve">Luce, Tom. 2003. “Tax Increment Financing in the Kansas City and St. Louis Metropolitan Areas.” </w:t>
      </w:r>
      <w:r w:rsidRPr="008227D3">
        <w:rPr>
          <w:rFonts w:ascii="Calibri" w:hAnsi="Calibri" w:cs="Calibri"/>
          <w:i/>
          <w:iCs/>
        </w:rPr>
        <w:t>Brookings</w:t>
      </w:r>
      <w:r w:rsidRPr="008227D3">
        <w:rPr>
          <w:rFonts w:ascii="Calibri" w:hAnsi="Calibri" w:cs="Calibri"/>
        </w:rPr>
        <w:t>, April 1, 2003. https://www.brookings.edu/research/tax-increment-financing-in-the-kansas-city-and-st-louis-metropolitan-areas/.</w:t>
      </w:r>
    </w:p>
    <w:p w14:paraId="04513632" w14:textId="77777777" w:rsidR="008227D3" w:rsidRPr="008227D3" w:rsidRDefault="008227D3" w:rsidP="008227D3">
      <w:pPr>
        <w:pStyle w:val="Bibliography"/>
        <w:rPr>
          <w:rFonts w:ascii="Calibri" w:hAnsi="Calibri" w:cs="Calibri"/>
        </w:rPr>
      </w:pPr>
      <w:r w:rsidRPr="008227D3">
        <w:rPr>
          <w:rFonts w:ascii="Calibri" w:hAnsi="Calibri" w:cs="Calibri"/>
        </w:rPr>
        <w:t xml:space="preserve">Merriman, David F., Mark L. Skidmore, and Kashian. 2011. “Do Tax Increment Finance Districts Stimulate Growth in Real Estate Values?” </w:t>
      </w:r>
      <w:r w:rsidRPr="008227D3">
        <w:rPr>
          <w:rFonts w:ascii="Calibri" w:hAnsi="Calibri" w:cs="Calibri"/>
          <w:i/>
          <w:iCs/>
        </w:rPr>
        <w:t>Real Estate Economics</w:t>
      </w:r>
      <w:r w:rsidRPr="008227D3">
        <w:rPr>
          <w:rFonts w:ascii="Calibri" w:hAnsi="Calibri" w:cs="Calibri"/>
        </w:rPr>
        <w:t xml:space="preserve"> 39 (2):221–50.</w:t>
      </w:r>
    </w:p>
    <w:p w14:paraId="3A98BC02" w14:textId="77777777" w:rsidR="008227D3" w:rsidRPr="008227D3" w:rsidRDefault="008227D3" w:rsidP="008227D3">
      <w:pPr>
        <w:pStyle w:val="Bibliography"/>
        <w:rPr>
          <w:rFonts w:ascii="Calibri" w:hAnsi="Calibri" w:cs="Calibri"/>
        </w:rPr>
      </w:pPr>
      <w:r w:rsidRPr="008227D3">
        <w:rPr>
          <w:rFonts w:ascii="Calibri" w:hAnsi="Calibri" w:cs="Calibri"/>
        </w:rPr>
        <w:t xml:space="preserve">Missouri House of Representatives. 2016. </w:t>
      </w:r>
      <w:r w:rsidRPr="008227D3">
        <w:rPr>
          <w:rFonts w:ascii="Calibri" w:hAnsi="Calibri" w:cs="Calibri"/>
          <w:i/>
          <w:iCs/>
        </w:rPr>
        <w:t>House Bill 1434</w:t>
      </w:r>
      <w:r w:rsidRPr="008227D3">
        <w:rPr>
          <w:rFonts w:ascii="Calibri" w:hAnsi="Calibri" w:cs="Calibri"/>
        </w:rPr>
        <w:t>.</w:t>
      </w:r>
    </w:p>
    <w:p w14:paraId="10717A23" w14:textId="77777777" w:rsidR="008227D3" w:rsidRPr="008227D3" w:rsidRDefault="008227D3" w:rsidP="008227D3">
      <w:pPr>
        <w:pStyle w:val="Bibliography"/>
        <w:rPr>
          <w:rFonts w:ascii="Calibri" w:hAnsi="Calibri" w:cs="Calibri"/>
        </w:rPr>
      </w:pPr>
      <w:r w:rsidRPr="008227D3">
        <w:rPr>
          <w:rFonts w:ascii="Calibri" w:hAnsi="Calibri" w:cs="Calibri"/>
        </w:rPr>
        <w:lastRenderedPageBreak/>
        <w:t xml:space="preserve">Moffit, Kelly. 2017. “Are TIF, Tax Abatement Being Used in St. Louis in the Best Way?”.” </w:t>
      </w:r>
      <w:r w:rsidRPr="008227D3">
        <w:rPr>
          <w:rFonts w:ascii="Calibri" w:hAnsi="Calibri" w:cs="Calibri"/>
          <w:i/>
          <w:iCs/>
        </w:rPr>
        <w:t>St. Louis Public Radio</w:t>
      </w:r>
      <w:r w:rsidRPr="008227D3">
        <w:rPr>
          <w:rFonts w:ascii="Calibri" w:hAnsi="Calibri" w:cs="Calibri"/>
        </w:rPr>
        <w:t>, February 21, 2017. http://news.stlpublicradio.org/post/are-tif-tax-abatement-being-used-st-louis-best-way-tale-2-differing-philosophies#stream/0.</w:t>
      </w:r>
    </w:p>
    <w:p w14:paraId="6C674949" w14:textId="77777777" w:rsidR="008227D3" w:rsidRPr="008227D3" w:rsidRDefault="008227D3" w:rsidP="008227D3">
      <w:pPr>
        <w:pStyle w:val="Bibliography"/>
        <w:rPr>
          <w:rFonts w:ascii="Calibri" w:hAnsi="Calibri" w:cs="Calibri"/>
        </w:rPr>
      </w:pPr>
      <w:r w:rsidRPr="008227D3">
        <w:rPr>
          <w:rFonts w:ascii="Calibri" w:hAnsi="Calibri" w:cs="Calibri"/>
        </w:rPr>
        <w:t xml:space="preserve">Rosenbaum, Paul R., and Donald B. Rubin. 1983. “The Central Role of the Propensity Score in Observational Studies of Causal Effects.” </w:t>
      </w:r>
      <w:r w:rsidRPr="008227D3">
        <w:rPr>
          <w:rFonts w:ascii="Calibri" w:hAnsi="Calibri" w:cs="Calibri"/>
          <w:i/>
          <w:iCs/>
        </w:rPr>
        <w:t>Biometrika</w:t>
      </w:r>
      <w:r w:rsidRPr="008227D3">
        <w:rPr>
          <w:rFonts w:ascii="Calibri" w:hAnsi="Calibri" w:cs="Calibri"/>
        </w:rPr>
        <w:t xml:space="preserve"> 70 (1):41–55.</w:t>
      </w:r>
    </w:p>
    <w:p w14:paraId="517354AE" w14:textId="77777777" w:rsidR="008227D3" w:rsidRPr="008227D3" w:rsidRDefault="008227D3" w:rsidP="008227D3">
      <w:pPr>
        <w:pStyle w:val="Bibliography"/>
        <w:rPr>
          <w:rFonts w:ascii="Calibri" w:hAnsi="Calibri" w:cs="Calibri"/>
        </w:rPr>
      </w:pPr>
      <w:r w:rsidRPr="008227D3">
        <w:rPr>
          <w:rFonts w:ascii="Calibri" w:hAnsi="Calibri" w:cs="Calibri"/>
        </w:rPr>
        <w:t xml:space="preserve">Smith, Brent C. 2009. “If You Promise to Build It, Will They Come? The Interaction between Local Economic Development Policy and the Real Estate Market: Evidence from Tax Increment Finance Districts.” </w:t>
      </w:r>
      <w:r w:rsidRPr="008227D3">
        <w:rPr>
          <w:rFonts w:ascii="Calibri" w:hAnsi="Calibri" w:cs="Calibri"/>
          <w:i/>
          <w:iCs/>
        </w:rPr>
        <w:t>Real Estate Economics</w:t>
      </w:r>
      <w:r w:rsidRPr="008227D3">
        <w:rPr>
          <w:rFonts w:ascii="Calibri" w:hAnsi="Calibri" w:cs="Calibri"/>
        </w:rPr>
        <w:t xml:space="preserve"> 37 (2):208–34.</w:t>
      </w:r>
    </w:p>
    <w:p w14:paraId="50846510" w14:textId="77777777" w:rsidR="008227D3" w:rsidRPr="008227D3" w:rsidRDefault="008227D3" w:rsidP="008227D3">
      <w:pPr>
        <w:pStyle w:val="Bibliography"/>
        <w:rPr>
          <w:rFonts w:ascii="Calibri" w:hAnsi="Calibri" w:cs="Calibri"/>
        </w:rPr>
      </w:pPr>
      <w:r w:rsidRPr="008227D3">
        <w:rPr>
          <w:rFonts w:ascii="Calibri" w:hAnsi="Calibri" w:cs="Calibri"/>
        </w:rPr>
        <w:t>Warner, Mildrew, and Lingwen Zheng. 2011. “Economic Development Strategies for Recessionary Times: Survey Results from 2009. The ICMA Municipal Year Book 2011,” 33–42.</w:t>
      </w:r>
    </w:p>
    <w:p w14:paraId="0225E617" w14:textId="77777777" w:rsidR="008227D3" w:rsidRPr="008227D3" w:rsidRDefault="008227D3" w:rsidP="008227D3">
      <w:pPr>
        <w:pStyle w:val="Bibliography"/>
        <w:rPr>
          <w:rFonts w:ascii="Calibri" w:hAnsi="Calibri" w:cs="Calibri"/>
        </w:rPr>
      </w:pPr>
      <w:r w:rsidRPr="008227D3">
        <w:rPr>
          <w:rFonts w:ascii="Calibri" w:hAnsi="Calibri" w:cs="Calibri"/>
        </w:rPr>
        <w:t xml:space="preserve">Weber, Rachel, S.D. Bhatta, and David F. Merriman. 2007. “The Impact of Tax Increment Financing on Residential Property Values.” </w:t>
      </w:r>
      <w:r w:rsidRPr="008227D3">
        <w:rPr>
          <w:rFonts w:ascii="Calibri" w:hAnsi="Calibri" w:cs="Calibri"/>
          <w:i/>
          <w:iCs/>
        </w:rPr>
        <w:t>Regional Science and Urban Economics</w:t>
      </w:r>
      <w:r w:rsidRPr="008227D3">
        <w:rPr>
          <w:rFonts w:ascii="Calibri" w:hAnsi="Calibri" w:cs="Calibri"/>
        </w:rPr>
        <w:t xml:space="preserve"> 37 (2):259–81.</w:t>
      </w:r>
    </w:p>
    <w:p w14:paraId="02F8BA94" w14:textId="77777777" w:rsidR="008227D3" w:rsidRPr="008227D3" w:rsidRDefault="008227D3" w:rsidP="008227D3">
      <w:pPr>
        <w:pStyle w:val="Bibliography"/>
        <w:rPr>
          <w:rFonts w:ascii="Calibri" w:hAnsi="Calibri" w:cs="Calibri"/>
        </w:rPr>
      </w:pPr>
      <w:r w:rsidRPr="008227D3">
        <w:rPr>
          <w:rFonts w:ascii="Calibri" w:hAnsi="Calibri" w:cs="Calibri"/>
        </w:rPr>
        <w:t xml:space="preserve">Yadavalli, Anita, and Jim Landers. 2017. “Tax Increment Financing: A Propensity Score Approach.” </w:t>
      </w:r>
      <w:r w:rsidRPr="008227D3">
        <w:rPr>
          <w:rFonts w:ascii="Calibri" w:hAnsi="Calibri" w:cs="Calibri"/>
          <w:i/>
          <w:iCs/>
        </w:rPr>
        <w:t>Economic Development Quarterly</w:t>
      </w:r>
      <w:r w:rsidRPr="008227D3">
        <w:rPr>
          <w:rFonts w:ascii="Calibri" w:hAnsi="Calibri" w:cs="Calibri"/>
        </w:rPr>
        <w:t xml:space="preserve"> 31 (4):312–25.</w:t>
      </w:r>
    </w:p>
    <w:p w14:paraId="13F7FC6F" w14:textId="42F50546" w:rsidR="00BB33B2" w:rsidRPr="005576E1" w:rsidRDefault="00F62945" w:rsidP="001559DB">
      <w:pPr>
        <w:ind w:hanging="720"/>
        <w:rPr>
          <w:rFonts w:ascii="Times New Roman" w:hAnsi="Times New Roman" w:cs="Times New Roman"/>
          <w:b/>
          <w:bCs/>
        </w:rPr>
      </w:pPr>
      <w:r w:rsidRPr="005576E1">
        <w:rPr>
          <w:rFonts w:ascii="Times New Roman" w:hAnsi="Times New Roman" w:cs="Times New Roman"/>
          <w:noProof/>
        </w:rPr>
        <w:fldChar w:fldCharType="end"/>
      </w:r>
    </w:p>
    <w:sectPr w:rsidR="00BB33B2" w:rsidRPr="005576E1" w:rsidSect="003614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FB7CC" w14:textId="77777777" w:rsidR="00D33067" w:rsidRDefault="00D33067" w:rsidP="00871027">
      <w:r>
        <w:separator/>
      </w:r>
    </w:p>
  </w:endnote>
  <w:endnote w:type="continuationSeparator" w:id="0">
    <w:p w14:paraId="05F05E56" w14:textId="77777777" w:rsidR="00D33067" w:rsidRDefault="00D33067" w:rsidP="00871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507290"/>
      <w:docPartObj>
        <w:docPartGallery w:val="Page Numbers (Bottom of Page)"/>
        <w:docPartUnique/>
      </w:docPartObj>
    </w:sdtPr>
    <w:sdtEndPr>
      <w:rPr>
        <w:noProof/>
      </w:rPr>
    </w:sdtEndPr>
    <w:sdtContent>
      <w:p w14:paraId="14302839" w14:textId="4EC2DD22" w:rsidR="00495BAD" w:rsidRDefault="00495BAD">
        <w:pPr>
          <w:pStyle w:val="Footer"/>
          <w:jc w:val="center"/>
        </w:pPr>
        <w:r>
          <w:fldChar w:fldCharType="begin"/>
        </w:r>
        <w:r>
          <w:instrText xml:space="preserve"> PAGE   \* MERGEFORMAT </w:instrText>
        </w:r>
        <w:r>
          <w:fldChar w:fldCharType="separate"/>
        </w:r>
        <w:r w:rsidR="004A7999">
          <w:rPr>
            <w:noProof/>
          </w:rPr>
          <w:t>20</w:t>
        </w:r>
        <w:r>
          <w:rPr>
            <w:noProof/>
          </w:rPr>
          <w:fldChar w:fldCharType="end"/>
        </w:r>
      </w:p>
    </w:sdtContent>
  </w:sdt>
  <w:p w14:paraId="06DDFE27" w14:textId="77777777" w:rsidR="00495BAD" w:rsidRDefault="00495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7085C" w14:textId="77777777" w:rsidR="00D33067" w:rsidRDefault="00D33067" w:rsidP="00871027">
      <w:r>
        <w:separator/>
      </w:r>
    </w:p>
  </w:footnote>
  <w:footnote w:type="continuationSeparator" w:id="0">
    <w:p w14:paraId="718FD967" w14:textId="77777777" w:rsidR="00D33067" w:rsidRDefault="00D33067" w:rsidP="00871027">
      <w:r>
        <w:continuationSeparator/>
      </w:r>
    </w:p>
  </w:footnote>
  <w:footnote w:id="1">
    <w:p w14:paraId="576D7594" w14:textId="6ACBE891" w:rsidR="00C13FDD" w:rsidRDefault="00C13FDD" w:rsidP="00C13FDD">
      <w:pPr>
        <w:pStyle w:val="FootnoteText"/>
        <w:ind w:left="0"/>
      </w:pPr>
      <w:r>
        <w:rPr>
          <w:rStyle w:val="FootnoteReference"/>
        </w:rPr>
        <w:footnoteRef/>
      </w:r>
      <w:r>
        <w:t xml:space="preserve"> PhD Candidate, Department of City and Regional Planning, University of North Carolina at Chapel Hill</w:t>
      </w:r>
    </w:p>
  </w:footnote>
  <w:footnote w:id="2">
    <w:p w14:paraId="1A7BA6E8" w14:textId="1E8259DB" w:rsidR="00C13FDD" w:rsidRDefault="00C13FDD" w:rsidP="00C13FDD">
      <w:pPr>
        <w:pStyle w:val="FootnoteText"/>
        <w:ind w:left="0"/>
      </w:pPr>
      <w:r>
        <w:rPr>
          <w:rStyle w:val="FootnoteReference"/>
        </w:rPr>
        <w:footnoteRef/>
      </w:r>
      <w:r>
        <w:t xml:space="preserve"> Associate Professor, Department of City and Regional Planning, University of North Carolina at Chapel Hill</w:t>
      </w:r>
    </w:p>
  </w:footnote>
  <w:footnote w:id="3">
    <w:p w14:paraId="464798C2" w14:textId="7C1E4CBD" w:rsidR="00495BAD" w:rsidRPr="009E724F" w:rsidRDefault="00495BAD" w:rsidP="00BD2106">
      <w:pPr>
        <w:pStyle w:val="FootnoteText"/>
        <w:ind w:left="0"/>
      </w:pPr>
      <w:r w:rsidRPr="008227D3">
        <w:rPr>
          <w:rStyle w:val="FootnoteReference"/>
        </w:rPr>
        <w:footnoteRef/>
      </w:r>
      <w:r>
        <w:t xml:space="preserve"> Tax Increment Financing in the Saint Louis Region, Better Together, </w:t>
      </w:r>
      <w:hyperlink r:id="rId1" w:history="1">
        <w:r w:rsidRPr="008B712F">
          <w:rPr>
            <w:rStyle w:val="Hyperlink"/>
          </w:rPr>
          <w:t>www.bettertogether.com</w:t>
        </w:r>
      </w:hyperlink>
      <w:r>
        <w:t xml:space="preserve"> </w:t>
      </w:r>
    </w:p>
  </w:footnote>
  <w:footnote w:id="4">
    <w:p w14:paraId="523CBF8D" w14:textId="27BDEC09" w:rsidR="00495BAD" w:rsidRDefault="00495BAD" w:rsidP="00DF09E9">
      <w:pPr>
        <w:pStyle w:val="FootnoteText"/>
        <w:ind w:left="0"/>
      </w:pPr>
      <w:r w:rsidRPr="008227D3">
        <w:rPr>
          <w:rStyle w:val="FootnoteReference"/>
        </w:rPr>
        <w:footnoteRef/>
      </w:r>
      <w:r>
        <w:t xml:space="preserve"> </w:t>
      </w:r>
      <w:bookmarkStart w:id="1" w:name="_Hlk488327670"/>
      <w:r>
        <w:t>A census block group is a geographic unit that is smaller than a tract but larger than a block. It is the smallest unit for which the Census Bureau publishes data.</w:t>
      </w:r>
      <w:bookmarkEnd w:id="1"/>
    </w:p>
  </w:footnote>
  <w:footnote w:id="5">
    <w:p w14:paraId="36F31124" w14:textId="6931DA30" w:rsidR="00495BAD" w:rsidRDefault="00495BAD" w:rsidP="00DF09E9">
      <w:pPr>
        <w:pStyle w:val="FootnoteText"/>
        <w:ind w:left="0"/>
      </w:pPr>
      <w:r w:rsidRPr="008227D3">
        <w:rPr>
          <w:rStyle w:val="FootnoteReference"/>
        </w:rPr>
        <w:footnoteRef/>
      </w:r>
      <w:r>
        <w:t xml:space="preserve"> The Difference-in-Difference methodology is explained on page 8.</w:t>
      </w:r>
    </w:p>
  </w:footnote>
  <w:footnote w:id="6">
    <w:p w14:paraId="2081AE87" w14:textId="221CDC35" w:rsidR="00495BAD" w:rsidRPr="009E724F" w:rsidRDefault="00495BAD" w:rsidP="00761F70">
      <w:pPr>
        <w:pStyle w:val="FootnoteText"/>
        <w:ind w:left="0"/>
      </w:pPr>
      <w:r w:rsidRPr="008227D3">
        <w:rPr>
          <w:rStyle w:val="FootnoteReference"/>
        </w:rPr>
        <w:footnoteRef/>
      </w:r>
      <w:r>
        <w:t xml:space="preserve"> Saint Louis Development Corporation</w:t>
      </w:r>
      <w:r w:rsidRPr="009E724F">
        <w:t xml:space="preserve"> </w:t>
      </w:r>
      <w:hyperlink r:id="rId2" w:history="1">
        <w:r w:rsidRPr="008B712F">
          <w:rPr>
            <w:rStyle w:val="Hyperlink"/>
          </w:rPr>
          <w:t>https://www.stlouis-mo.gov/government/departments/sldc/economic-development/tax-increment-financing.cfm</w:t>
        </w:r>
      </w:hyperlink>
      <w:r>
        <w:t xml:space="preserve"> </w:t>
      </w:r>
    </w:p>
  </w:footnote>
  <w:footnote w:id="7">
    <w:p w14:paraId="0DDF0575" w14:textId="4322FCB5" w:rsidR="00495BAD" w:rsidRDefault="00495BAD" w:rsidP="00834590">
      <w:pPr>
        <w:pStyle w:val="FootnoteText"/>
        <w:ind w:left="0"/>
      </w:pPr>
      <w:r w:rsidRPr="008227D3">
        <w:rPr>
          <w:rStyle w:val="FootnoteReference"/>
        </w:rPr>
        <w:footnoteRef/>
      </w:r>
      <w:r>
        <w:t xml:space="preserve"> </w:t>
      </w:r>
      <w:bookmarkStart w:id="3" w:name="_Hlk488329265"/>
      <w:r>
        <w:t xml:space="preserve">A group fixed effect is meant to capture any time invariant characteristics associated with the group of interest. This is meant to remove potential omitted variable unique to the group. Year fixed effects are often used to capture the influence of time trends that affect all groups, e.g. macro-economic </w:t>
      </w:r>
      <w:bookmarkStart w:id="4" w:name="_Hlk488330828"/>
      <w:r>
        <w:t>shocks or the business cycle</w:t>
      </w:r>
      <w:bookmarkEnd w:id="4"/>
      <w:r>
        <w:t>.</w:t>
      </w:r>
      <w:bookmarkEnd w:id="3"/>
    </w:p>
  </w:footnote>
  <w:footnote w:id="8">
    <w:p w14:paraId="5DDCE55C" w14:textId="77777777" w:rsidR="00495BAD" w:rsidRDefault="00495BAD" w:rsidP="004033D8">
      <w:pPr>
        <w:pStyle w:val="FootnoteText"/>
        <w:ind w:left="0"/>
      </w:pPr>
      <w:r w:rsidRPr="008227D3">
        <w:rPr>
          <w:rStyle w:val="FootnoteReference"/>
        </w:rPr>
        <w:footnoteRef/>
      </w:r>
      <w:r>
        <w:t xml:space="preserve"> </w:t>
      </w:r>
      <w:r w:rsidRPr="009E724F">
        <w:rPr>
          <w:rFonts w:cstheme="minorHAnsi"/>
        </w:rPr>
        <w:t>Retail development can be found in about 80% of Missouri’s TIFs</w:t>
      </w:r>
    </w:p>
  </w:footnote>
  <w:footnote w:id="9">
    <w:p w14:paraId="6985D69A" w14:textId="77777777" w:rsidR="00495BAD" w:rsidRPr="009E724F" w:rsidRDefault="00495BAD" w:rsidP="00D65C76">
      <w:pPr>
        <w:pStyle w:val="FootnoteText"/>
        <w:ind w:left="0"/>
      </w:pPr>
      <w:r w:rsidRPr="008227D3">
        <w:rPr>
          <w:rStyle w:val="FootnoteReference"/>
        </w:rPr>
        <w:footnoteRef/>
      </w:r>
      <w:r>
        <w:t xml:space="preserve"> S</w:t>
      </w:r>
      <w:r w:rsidRPr="009E724F">
        <w:t>tatute requires that the TIF commission make a recommendation and vote, not approve TIF</w:t>
      </w:r>
    </w:p>
  </w:footnote>
  <w:footnote w:id="10">
    <w:p w14:paraId="65BF43B4" w14:textId="77777777" w:rsidR="00495BAD" w:rsidRPr="009E724F" w:rsidRDefault="00495BAD" w:rsidP="00E02D69">
      <w:pPr>
        <w:pStyle w:val="FootnoteText"/>
        <w:ind w:left="0"/>
      </w:pPr>
      <w:r w:rsidRPr="008227D3">
        <w:rPr>
          <w:rStyle w:val="FootnoteReference"/>
        </w:rPr>
        <w:footnoteRef/>
      </w:r>
      <w:r w:rsidRPr="009E724F">
        <w:t xml:space="preserve"> Block Groups are a standard areal unit reported in the decennial census typically representing populations between 500-1500 persons.</w:t>
      </w:r>
    </w:p>
  </w:footnote>
  <w:footnote w:id="11">
    <w:p w14:paraId="75953F6E" w14:textId="086017DD" w:rsidR="00495BAD" w:rsidRPr="009E724F" w:rsidRDefault="00495BAD" w:rsidP="00D954AE">
      <w:pPr>
        <w:pStyle w:val="FootnoteText"/>
        <w:ind w:left="0"/>
      </w:pPr>
      <w:r w:rsidRPr="008227D3">
        <w:rPr>
          <w:rStyle w:val="FootnoteReference"/>
        </w:rPr>
        <w:footnoteRef/>
      </w:r>
      <w:r w:rsidRPr="009E724F">
        <w:t xml:space="preserve"> Both the city of </w:t>
      </w:r>
      <w:r>
        <w:t>Saint Louis</w:t>
      </w:r>
      <w:r w:rsidRPr="009E724F">
        <w:t xml:space="preserve"> as well the county</w:t>
      </w:r>
      <w:r>
        <w:t xml:space="preserve"> of Saint Louis</w:t>
      </w:r>
    </w:p>
  </w:footnote>
  <w:footnote w:id="12">
    <w:p w14:paraId="79AF6681" w14:textId="77777777" w:rsidR="00495BAD" w:rsidRPr="009E724F" w:rsidRDefault="00495BAD" w:rsidP="00D954AE">
      <w:pPr>
        <w:pStyle w:val="FootnoteText"/>
        <w:ind w:left="0"/>
      </w:pPr>
      <w:r w:rsidRPr="008227D3">
        <w:rPr>
          <w:rStyle w:val="FootnoteReference"/>
        </w:rPr>
        <w:footnoteRef/>
      </w:r>
      <w:r w:rsidRPr="009E724F">
        <w:t xml:space="preserve"> Yearly DED reports were provided by </w:t>
      </w:r>
      <w:proofErr w:type="spellStart"/>
      <w:r w:rsidRPr="009E724F">
        <w:t>EWGateway</w:t>
      </w:r>
      <w:proofErr w:type="spellEnd"/>
    </w:p>
  </w:footnote>
  <w:footnote w:id="13">
    <w:p w14:paraId="58FC5354" w14:textId="6B13B26F" w:rsidR="00495BAD" w:rsidRPr="009E724F" w:rsidRDefault="00495BAD" w:rsidP="00D954AE">
      <w:pPr>
        <w:pStyle w:val="FootnoteText"/>
        <w:ind w:left="0"/>
      </w:pPr>
      <w:r w:rsidRPr="008227D3">
        <w:rPr>
          <w:rStyle w:val="FootnoteReference"/>
        </w:rPr>
        <w:footnoteRef/>
      </w:r>
      <w:r w:rsidRPr="009E724F">
        <w:t xml:space="preserve"> </w:t>
      </w:r>
      <w:r>
        <w:t xml:space="preserve">Kansas City Economic Development Corporation </w:t>
      </w:r>
      <w:hyperlink r:id="rId3" w:history="1">
        <w:r w:rsidRPr="009E724F">
          <w:rPr>
            <w:rStyle w:val="Hyperlink"/>
          </w:rPr>
          <w:t>http://maps.kcmo.org/apps/parcelviewer/</w:t>
        </w:r>
      </w:hyperlink>
    </w:p>
  </w:footnote>
  <w:footnote w:id="14">
    <w:p w14:paraId="6315B014" w14:textId="77777777" w:rsidR="00495BAD" w:rsidRPr="009E724F" w:rsidRDefault="00495BAD" w:rsidP="00D954AE">
      <w:pPr>
        <w:ind w:left="0"/>
        <w:rPr>
          <w:sz w:val="20"/>
          <w:szCs w:val="20"/>
        </w:rPr>
      </w:pPr>
      <w:r w:rsidRPr="008227D3">
        <w:rPr>
          <w:rStyle w:val="FootnoteReference"/>
        </w:rPr>
        <w:footnoteRef/>
      </w:r>
      <w:r w:rsidRPr="009E724F">
        <w:rPr>
          <w:sz w:val="20"/>
          <w:szCs w:val="20"/>
        </w:rPr>
        <w:t xml:space="preserve"> Addresses also were checked against the DED Annual Reports.  </w:t>
      </w:r>
      <w:hyperlink r:id="rId4" w:history="1">
        <w:r w:rsidRPr="009E724F">
          <w:rPr>
            <w:rStyle w:val="Hyperlink"/>
            <w:sz w:val="20"/>
            <w:szCs w:val="20"/>
          </w:rPr>
          <w:t>http://www.bettertogetherstl.com/studies/economic-development/tif-database</w:t>
        </w:r>
      </w:hyperlink>
    </w:p>
    <w:p w14:paraId="5210E50D" w14:textId="77777777" w:rsidR="00495BAD" w:rsidRPr="009E724F" w:rsidRDefault="00495BAD" w:rsidP="00D954A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4976"/>
    <w:multiLevelType w:val="multilevel"/>
    <w:tmpl w:val="163EBC88"/>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D6350B8"/>
    <w:multiLevelType w:val="hybridMultilevel"/>
    <w:tmpl w:val="045EC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42BDC"/>
    <w:multiLevelType w:val="hybridMultilevel"/>
    <w:tmpl w:val="5A4EBE50"/>
    <w:lvl w:ilvl="0" w:tplc="29DEB5F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E14D2"/>
    <w:multiLevelType w:val="hybridMultilevel"/>
    <w:tmpl w:val="71985E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F47E6"/>
    <w:multiLevelType w:val="multilevel"/>
    <w:tmpl w:val="2B90C320"/>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53F1C5D"/>
    <w:multiLevelType w:val="hybridMultilevel"/>
    <w:tmpl w:val="30BE5C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405DE4"/>
    <w:multiLevelType w:val="hybridMultilevel"/>
    <w:tmpl w:val="DB781FF8"/>
    <w:lvl w:ilvl="0" w:tplc="D1A8B59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FD25182"/>
    <w:multiLevelType w:val="hybridMultilevel"/>
    <w:tmpl w:val="53E012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35636E6"/>
    <w:multiLevelType w:val="hybridMultilevel"/>
    <w:tmpl w:val="5D306768"/>
    <w:lvl w:ilvl="0" w:tplc="DF6CC4F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333CE6"/>
    <w:multiLevelType w:val="hybridMultilevel"/>
    <w:tmpl w:val="F51CD3D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8938E5"/>
    <w:multiLevelType w:val="multilevel"/>
    <w:tmpl w:val="B05068E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b/>
        <w:sz w:val="32"/>
      </w:rPr>
    </w:lvl>
    <w:lvl w:ilvl="2">
      <w:start w:val="1"/>
      <w:numFmt w:val="decimal"/>
      <w:isLgl/>
      <w:lvlText w:val="%1.%2.%3"/>
      <w:lvlJc w:val="left"/>
      <w:pPr>
        <w:ind w:left="1080" w:hanging="720"/>
      </w:pPr>
      <w:rPr>
        <w:rFonts w:hint="default"/>
        <w:b/>
        <w:sz w:val="32"/>
      </w:rPr>
    </w:lvl>
    <w:lvl w:ilvl="3">
      <w:start w:val="1"/>
      <w:numFmt w:val="decimal"/>
      <w:isLgl/>
      <w:lvlText w:val="%1.%2.%3.%4"/>
      <w:lvlJc w:val="left"/>
      <w:pPr>
        <w:ind w:left="1080" w:hanging="720"/>
      </w:pPr>
      <w:rPr>
        <w:rFonts w:hint="default"/>
        <w:b/>
        <w:sz w:val="32"/>
      </w:rPr>
    </w:lvl>
    <w:lvl w:ilvl="4">
      <w:start w:val="1"/>
      <w:numFmt w:val="decimal"/>
      <w:isLgl/>
      <w:lvlText w:val="%1.%2.%3.%4.%5"/>
      <w:lvlJc w:val="left"/>
      <w:pPr>
        <w:ind w:left="1440" w:hanging="1080"/>
      </w:pPr>
      <w:rPr>
        <w:rFonts w:hint="default"/>
        <w:b/>
        <w:sz w:val="32"/>
      </w:rPr>
    </w:lvl>
    <w:lvl w:ilvl="5">
      <w:start w:val="1"/>
      <w:numFmt w:val="decimal"/>
      <w:isLgl/>
      <w:lvlText w:val="%1.%2.%3.%4.%5.%6"/>
      <w:lvlJc w:val="left"/>
      <w:pPr>
        <w:ind w:left="1440" w:hanging="1080"/>
      </w:pPr>
      <w:rPr>
        <w:rFonts w:hint="default"/>
        <w:b/>
        <w:sz w:val="32"/>
      </w:rPr>
    </w:lvl>
    <w:lvl w:ilvl="6">
      <w:start w:val="1"/>
      <w:numFmt w:val="decimal"/>
      <w:isLgl/>
      <w:lvlText w:val="%1.%2.%3.%4.%5.%6.%7"/>
      <w:lvlJc w:val="left"/>
      <w:pPr>
        <w:ind w:left="1800" w:hanging="1440"/>
      </w:pPr>
      <w:rPr>
        <w:rFonts w:hint="default"/>
        <w:b/>
        <w:sz w:val="32"/>
      </w:rPr>
    </w:lvl>
    <w:lvl w:ilvl="7">
      <w:start w:val="1"/>
      <w:numFmt w:val="decimal"/>
      <w:isLgl/>
      <w:lvlText w:val="%1.%2.%3.%4.%5.%6.%7.%8"/>
      <w:lvlJc w:val="left"/>
      <w:pPr>
        <w:ind w:left="1800" w:hanging="1440"/>
      </w:pPr>
      <w:rPr>
        <w:rFonts w:hint="default"/>
        <w:b/>
        <w:sz w:val="32"/>
      </w:rPr>
    </w:lvl>
    <w:lvl w:ilvl="8">
      <w:start w:val="1"/>
      <w:numFmt w:val="decimal"/>
      <w:isLgl/>
      <w:lvlText w:val="%1.%2.%3.%4.%5.%6.%7.%8.%9"/>
      <w:lvlJc w:val="left"/>
      <w:pPr>
        <w:ind w:left="1800" w:hanging="1440"/>
      </w:pPr>
      <w:rPr>
        <w:rFonts w:hint="default"/>
        <w:b/>
        <w:sz w:val="32"/>
      </w:rPr>
    </w:lvl>
  </w:abstractNum>
  <w:abstractNum w:abstractNumId="11" w15:restartNumberingAfterBreak="0">
    <w:nsid w:val="7B067365"/>
    <w:multiLevelType w:val="hybridMultilevel"/>
    <w:tmpl w:val="024C77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2"/>
  </w:num>
  <w:num w:numId="4">
    <w:abstractNumId w:val="5"/>
  </w:num>
  <w:num w:numId="5">
    <w:abstractNumId w:val="6"/>
  </w:num>
  <w:num w:numId="6">
    <w:abstractNumId w:val="1"/>
  </w:num>
  <w:num w:numId="7">
    <w:abstractNumId w:val="4"/>
  </w:num>
  <w:num w:numId="8">
    <w:abstractNumId w:val="0"/>
  </w:num>
  <w:num w:numId="9">
    <w:abstractNumId w:val="10"/>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2fz2vrpn2ref3es05fp9eee0a9s0v5ar2fp&quot;&gt;references8-Saved2&lt;record-ids&gt;&lt;item&gt;136&lt;/item&gt;&lt;item&gt;361&lt;/item&gt;&lt;item&gt;429&lt;/item&gt;&lt;item&gt;597&lt;/item&gt;&lt;item&gt;663&lt;/item&gt;&lt;item&gt;666&lt;/item&gt;&lt;item&gt;667&lt;/item&gt;&lt;item&gt;685&lt;/item&gt;&lt;item&gt;886&lt;/item&gt;&lt;item&gt;1007&lt;/item&gt;&lt;item&gt;1008&lt;/item&gt;&lt;item&gt;1009&lt;/item&gt;&lt;item&gt;1010&lt;/item&gt;&lt;/record-ids&gt;&lt;/item&gt;&lt;/Libraries&gt;"/>
  </w:docVars>
  <w:rsids>
    <w:rsidRoot w:val="00C327F9"/>
    <w:rsid w:val="00027132"/>
    <w:rsid w:val="0004440D"/>
    <w:rsid w:val="00045BFA"/>
    <w:rsid w:val="00055AA2"/>
    <w:rsid w:val="00060231"/>
    <w:rsid w:val="00060560"/>
    <w:rsid w:val="00063A52"/>
    <w:rsid w:val="00072964"/>
    <w:rsid w:val="00075D04"/>
    <w:rsid w:val="000772B4"/>
    <w:rsid w:val="00087A73"/>
    <w:rsid w:val="00091E34"/>
    <w:rsid w:val="00096925"/>
    <w:rsid w:val="000A1319"/>
    <w:rsid w:val="000B5C24"/>
    <w:rsid w:val="000C1453"/>
    <w:rsid w:val="000C74F6"/>
    <w:rsid w:val="000D1F19"/>
    <w:rsid w:val="000D5FB4"/>
    <w:rsid w:val="000F040D"/>
    <w:rsid w:val="000F064C"/>
    <w:rsid w:val="000F0886"/>
    <w:rsid w:val="000F33E4"/>
    <w:rsid w:val="000F4407"/>
    <w:rsid w:val="000F443A"/>
    <w:rsid w:val="000F549C"/>
    <w:rsid w:val="00101A76"/>
    <w:rsid w:val="0011460A"/>
    <w:rsid w:val="001167DE"/>
    <w:rsid w:val="001209AC"/>
    <w:rsid w:val="00121CFA"/>
    <w:rsid w:val="001272A6"/>
    <w:rsid w:val="001330CB"/>
    <w:rsid w:val="001355CE"/>
    <w:rsid w:val="00142836"/>
    <w:rsid w:val="00144F5F"/>
    <w:rsid w:val="00151C6F"/>
    <w:rsid w:val="00152DF6"/>
    <w:rsid w:val="00152F63"/>
    <w:rsid w:val="001559DB"/>
    <w:rsid w:val="00163818"/>
    <w:rsid w:val="0016391E"/>
    <w:rsid w:val="00163CF2"/>
    <w:rsid w:val="00172FC7"/>
    <w:rsid w:val="00175CE1"/>
    <w:rsid w:val="001818A9"/>
    <w:rsid w:val="00182B66"/>
    <w:rsid w:val="001A4876"/>
    <w:rsid w:val="001B6FBC"/>
    <w:rsid w:val="001B7FAE"/>
    <w:rsid w:val="001C23AB"/>
    <w:rsid w:val="001C54D6"/>
    <w:rsid w:val="001C5CF8"/>
    <w:rsid w:val="001D2689"/>
    <w:rsid w:val="001D2C1B"/>
    <w:rsid w:val="001E2A5B"/>
    <w:rsid w:val="001E3AE5"/>
    <w:rsid w:val="001E3E36"/>
    <w:rsid w:val="001E431E"/>
    <w:rsid w:val="001F7A44"/>
    <w:rsid w:val="00212EEE"/>
    <w:rsid w:val="00215883"/>
    <w:rsid w:val="0022328A"/>
    <w:rsid w:val="002256D4"/>
    <w:rsid w:val="00233C90"/>
    <w:rsid w:val="00234AB6"/>
    <w:rsid w:val="00235570"/>
    <w:rsid w:val="00240FF3"/>
    <w:rsid w:val="0024269D"/>
    <w:rsid w:val="002431C5"/>
    <w:rsid w:val="00245926"/>
    <w:rsid w:val="0025040E"/>
    <w:rsid w:val="00250F5E"/>
    <w:rsid w:val="00270EA7"/>
    <w:rsid w:val="00272111"/>
    <w:rsid w:val="002801A4"/>
    <w:rsid w:val="00292913"/>
    <w:rsid w:val="002945BD"/>
    <w:rsid w:val="00295048"/>
    <w:rsid w:val="002B61C0"/>
    <w:rsid w:val="002B7546"/>
    <w:rsid w:val="002D50C4"/>
    <w:rsid w:val="002E784D"/>
    <w:rsid w:val="002F0D7E"/>
    <w:rsid w:val="002F4EB4"/>
    <w:rsid w:val="00305310"/>
    <w:rsid w:val="00306FE5"/>
    <w:rsid w:val="00314C3A"/>
    <w:rsid w:val="00330227"/>
    <w:rsid w:val="00341FFC"/>
    <w:rsid w:val="00343A10"/>
    <w:rsid w:val="003456DF"/>
    <w:rsid w:val="00351B0E"/>
    <w:rsid w:val="00361445"/>
    <w:rsid w:val="0036778D"/>
    <w:rsid w:val="00375B26"/>
    <w:rsid w:val="00380005"/>
    <w:rsid w:val="00386D74"/>
    <w:rsid w:val="00386E8A"/>
    <w:rsid w:val="003A0C22"/>
    <w:rsid w:val="003A1F04"/>
    <w:rsid w:val="003B7A9D"/>
    <w:rsid w:val="003C2F8B"/>
    <w:rsid w:val="003C4938"/>
    <w:rsid w:val="003C4EC6"/>
    <w:rsid w:val="003C5C48"/>
    <w:rsid w:val="003D2B27"/>
    <w:rsid w:val="003E5B60"/>
    <w:rsid w:val="003E7C6F"/>
    <w:rsid w:val="003F4948"/>
    <w:rsid w:val="004033D8"/>
    <w:rsid w:val="00413097"/>
    <w:rsid w:val="00416399"/>
    <w:rsid w:val="00426C57"/>
    <w:rsid w:val="00431A6B"/>
    <w:rsid w:val="0044009C"/>
    <w:rsid w:val="004435BA"/>
    <w:rsid w:val="0044548E"/>
    <w:rsid w:val="00447E33"/>
    <w:rsid w:val="004702EB"/>
    <w:rsid w:val="0047158A"/>
    <w:rsid w:val="004721F4"/>
    <w:rsid w:val="00492A8C"/>
    <w:rsid w:val="0049494B"/>
    <w:rsid w:val="00494B32"/>
    <w:rsid w:val="00495BAD"/>
    <w:rsid w:val="004A05B9"/>
    <w:rsid w:val="004A3593"/>
    <w:rsid w:val="004A3767"/>
    <w:rsid w:val="004A6E97"/>
    <w:rsid w:val="004A73DB"/>
    <w:rsid w:val="004A7999"/>
    <w:rsid w:val="004D20D8"/>
    <w:rsid w:val="004E49B7"/>
    <w:rsid w:val="004E5931"/>
    <w:rsid w:val="004F0B9C"/>
    <w:rsid w:val="004F5C6C"/>
    <w:rsid w:val="00502AF1"/>
    <w:rsid w:val="00503D55"/>
    <w:rsid w:val="00505A7B"/>
    <w:rsid w:val="00505F4F"/>
    <w:rsid w:val="00511752"/>
    <w:rsid w:val="00511B86"/>
    <w:rsid w:val="0052414C"/>
    <w:rsid w:val="00546CA2"/>
    <w:rsid w:val="00554A13"/>
    <w:rsid w:val="005576E1"/>
    <w:rsid w:val="00564B14"/>
    <w:rsid w:val="00581314"/>
    <w:rsid w:val="00581754"/>
    <w:rsid w:val="00581B12"/>
    <w:rsid w:val="00583FED"/>
    <w:rsid w:val="00592187"/>
    <w:rsid w:val="005924EF"/>
    <w:rsid w:val="00593B0B"/>
    <w:rsid w:val="0059442B"/>
    <w:rsid w:val="0059671F"/>
    <w:rsid w:val="0059720E"/>
    <w:rsid w:val="005B3A80"/>
    <w:rsid w:val="005B44F2"/>
    <w:rsid w:val="005C4FBD"/>
    <w:rsid w:val="005C5118"/>
    <w:rsid w:val="005C7C18"/>
    <w:rsid w:val="005D15B9"/>
    <w:rsid w:val="005D282E"/>
    <w:rsid w:val="005D3426"/>
    <w:rsid w:val="005D5C80"/>
    <w:rsid w:val="005E3EFB"/>
    <w:rsid w:val="005E4801"/>
    <w:rsid w:val="005E78F4"/>
    <w:rsid w:val="005F2AE1"/>
    <w:rsid w:val="005F5844"/>
    <w:rsid w:val="00606EA2"/>
    <w:rsid w:val="00615706"/>
    <w:rsid w:val="00617032"/>
    <w:rsid w:val="00631078"/>
    <w:rsid w:val="00631085"/>
    <w:rsid w:val="00634B60"/>
    <w:rsid w:val="006355FD"/>
    <w:rsid w:val="00635742"/>
    <w:rsid w:val="006374D6"/>
    <w:rsid w:val="00641550"/>
    <w:rsid w:val="00642858"/>
    <w:rsid w:val="0064712E"/>
    <w:rsid w:val="0065017C"/>
    <w:rsid w:val="00651FB2"/>
    <w:rsid w:val="0065687C"/>
    <w:rsid w:val="006671A3"/>
    <w:rsid w:val="00667B89"/>
    <w:rsid w:val="0067022B"/>
    <w:rsid w:val="006721A3"/>
    <w:rsid w:val="00680F42"/>
    <w:rsid w:val="00682B1F"/>
    <w:rsid w:val="00683355"/>
    <w:rsid w:val="00683455"/>
    <w:rsid w:val="00684C7B"/>
    <w:rsid w:val="00695432"/>
    <w:rsid w:val="006954B2"/>
    <w:rsid w:val="00695CBD"/>
    <w:rsid w:val="006B1FBA"/>
    <w:rsid w:val="006B54F7"/>
    <w:rsid w:val="006D2D82"/>
    <w:rsid w:val="006E1BC2"/>
    <w:rsid w:val="006E584B"/>
    <w:rsid w:val="006E6D0B"/>
    <w:rsid w:val="006F0363"/>
    <w:rsid w:val="006F2211"/>
    <w:rsid w:val="006F22C3"/>
    <w:rsid w:val="006F43DE"/>
    <w:rsid w:val="006F4AC2"/>
    <w:rsid w:val="006F7274"/>
    <w:rsid w:val="00706A53"/>
    <w:rsid w:val="00710AD6"/>
    <w:rsid w:val="007115A6"/>
    <w:rsid w:val="00715492"/>
    <w:rsid w:val="00720EF8"/>
    <w:rsid w:val="00745595"/>
    <w:rsid w:val="007524E8"/>
    <w:rsid w:val="00755333"/>
    <w:rsid w:val="00756D95"/>
    <w:rsid w:val="00761F70"/>
    <w:rsid w:val="00772227"/>
    <w:rsid w:val="0077765D"/>
    <w:rsid w:val="007827BA"/>
    <w:rsid w:val="00783932"/>
    <w:rsid w:val="00790AF1"/>
    <w:rsid w:val="00793DC3"/>
    <w:rsid w:val="007A281B"/>
    <w:rsid w:val="007A3B6B"/>
    <w:rsid w:val="007A7063"/>
    <w:rsid w:val="007B7707"/>
    <w:rsid w:val="007C2580"/>
    <w:rsid w:val="007C76F2"/>
    <w:rsid w:val="007E2EE4"/>
    <w:rsid w:val="007E51A8"/>
    <w:rsid w:val="007F5AC7"/>
    <w:rsid w:val="007F62DA"/>
    <w:rsid w:val="0081788D"/>
    <w:rsid w:val="00821394"/>
    <w:rsid w:val="008227D3"/>
    <w:rsid w:val="0082629E"/>
    <w:rsid w:val="0083128B"/>
    <w:rsid w:val="00834590"/>
    <w:rsid w:val="00840BF2"/>
    <w:rsid w:val="00847DCC"/>
    <w:rsid w:val="00850638"/>
    <w:rsid w:val="00856875"/>
    <w:rsid w:val="0087084A"/>
    <w:rsid w:val="00871027"/>
    <w:rsid w:val="00886D91"/>
    <w:rsid w:val="00892135"/>
    <w:rsid w:val="008927B5"/>
    <w:rsid w:val="00892A56"/>
    <w:rsid w:val="008A0D5D"/>
    <w:rsid w:val="008A1617"/>
    <w:rsid w:val="008A6722"/>
    <w:rsid w:val="008B07DF"/>
    <w:rsid w:val="008B6027"/>
    <w:rsid w:val="008B78E9"/>
    <w:rsid w:val="008C6181"/>
    <w:rsid w:val="008D458D"/>
    <w:rsid w:val="008D4AFC"/>
    <w:rsid w:val="008E6776"/>
    <w:rsid w:val="008F06FB"/>
    <w:rsid w:val="00911265"/>
    <w:rsid w:val="00934F45"/>
    <w:rsid w:val="0093728C"/>
    <w:rsid w:val="00937C1E"/>
    <w:rsid w:val="009539B0"/>
    <w:rsid w:val="00974FBF"/>
    <w:rsid w:val="009856C5"/>
    <w:rsid w:val="0098596C"/>
    <w:rsid w:val="009A2409"/>
    <w:rsid w:val="009A5DA3"/>
    <w:rsid w:val="009B5542"/>
    <w:rsid w:val="009C6725"/>
    <w:rsid w:val="009C6820"/>
    <w:rsid w:val="009C6A70"/>
    <w:rsid w:val="009E724F"/>
    <w:rsid w:val="009F0A54"/>
    <w:rsid w:val="00A017AB"/>
    <w:rsid w:val="00A07A38"/>
    <w:rsid w:val="00A15173"/>
    <w:rsid w:val="00A229F3"/>
    <w:rsid w:val="00A237B5"/>
    <w:rsid w:val="00A44C9B"/>
    <w:rsid w:val="00A4622E"/>
    <w:rsid w:val="00A5144B"/>
    <w:rsid w:val="00A517A7"/>
    <w:rsid w:val="00A531BB"/>
    <w:rsid w:val="00A629D5"/>
    <w:rsid w:val="00A858BE"/>
    <w:rsid w:val="00AA0038"/>
    <w:rsid w:val="00AA1B3E"/>
    <w:rsid w:val="00AE4D83"/>
    <w:rsid w:val="00AF4EDD"/>
    <w:rsid w:val="00B11C22"/>
    <w:rsid w:val="00B1750A"/>
    <w:rsid w:val="00B33EDE"/>
    <w:rsid w:val="00B37EEE"/>
    <w:rsid w:val="00B42A05"/>
    <w:rsid w:val="00B46CDA"/>
    <w:rsid w:val="00B5063D"/>
    <w:rsid w:val="00B6077A"/>
    <w:rsid w:val="00B735D1"/>
    <w:rsid w:val="00B745A6"/>
    <w:rsid w:val="00B77519"/>
    <w:rsid w:val="00B8215D"/>
    <w:rsid w:val="00B84308"/>
    <w:rsid w:val="00B94F8B"/>
    <w:rsid w:val="00B956F5"/>
    <w:rsid w:val="00BA5D1C"/>
    <w:rsid w:val="00BB1F5C"/>
    <w:rsid w:val="00BB33B2"/>
    <w:rsid w:val="00BB6F74"/>
    <w:rsid w:val="00BC4ED2"/>
    <w:rsid w:val="00BC5388"/>
    <w:rsid w:val="00BD2106"/>
    <w:rsid w:val="00BE2062"/>
    <w:rsid w:val="00BE42CF"/>
    <w:rsid w:val="00BF32FB"/>
    <w:rsid w:val="00BF3ACB"/>
    <w:rsid w:val="00BF4F31"/>
    <w:rsid w:val="00C12DDF"/>
    <w:rsid w:val="00C13FDD"/>
    <w:rsid w:val="00C1440C"/>
    <w:rsid w:val="00C24D13"/>
    <w:rsid w:val="00C26D1F"/>
    <w:rsid w:val="00C327F9"/>
    <w:rsid w:val="00C33147"/>
    <w:rsid w:val="00C336CC"/>
    <w:rsid w:val="00C402AA"/>
    <w:rsid w:val="00C43EFE"/>
    <w:rsid w:val="00C44F60"/>
    <w:rsid w:val="00C500F7"/>
    <w:rsid w:val="00C52E0A"/>
    <w:rsid w:val="00C5433A"/>
    <w:rsid w:val="00C649E2"/>
    <w:rsid w:val="00C669F0"/>
    <w:rsid w:val="00C72449"/>
    <w:rsid w:val="00C73225"/>
    <w:rsid w:val="00C751E0"/>
    <w:rsid w:val="00C92C24"/>
    <w:rsid w:val="00C93A77"/>
    <w:rsid w:val="00C94800"/>
    <w:rsid w:val="00CA3899"/>
    <w:rsid w:val="00CA3A62"/>
    <w:rsid w:val="00CC0A3F"/>
    <w:rsid w:val="00CE0BEC"/>
    <w:rsid w:val="00CE17FD"/>
    <w:rsid w:val="00CE3332"/>
    <w:rsid w:val="00CF0EE4"/>
    <w:rsid w:val="00CF36E6"/>
    <w:rsid w:val="00CF56A3"/>
    <w:rsid w:val="00D00369"/>
    <w:rsid w:val="00D04AEE"/>
    <w:rsid w:val="00D04F53"/>
    <w:rsid w:val="00D11044"/>
    <w:rsid w:val="00D166EC"/>
    <w:rsid w:val="00D16ACD"/>
    <w:rsid w:val="00D2171E"/>
    <w:rsid w:val="00D33067"/>
    <w:rsid w:val="00D375CE"/>
    <w:rsid w:val="00D43FAA"/>
    <w:rsid w:val="00D5345C"/>
    <w:rsid w:val="00D61B05"/>
    <w:rsid w:val="00D65C76"/>
    <w:rsid w:val="00D6615C"/>
    <w:rsid w:val="00D73E25"/>
    <w:rsid w:val="00D75D43"/>
    <w:rsid w:val="00D816C7"/>
    <w:rsid w:val="00D83AC4"/>
    <w:rsid w:val="00D949E5"/>
    <w:rsid w:val="00D954AE"/>
    <w:rsid w:val="00DA39EE"/>
    <w:rsid w:val="00DC2621"/>
    <w:rsid w:val="00DC41D2"/>
    <w:rsid w:val="00DD32E1"/>
    <w:rsid w:val="00DD372E"/>
    <w:rsid w:val="00DD7F37"/>
    <w:rsid w:val="00DE3ABD"/>
    <w:rsid w:val="00DE4471"/>
    <w:rsid w:val="00DF0520"/>
    <w:rsid w:val="00DF09E9"/>
    <w:rsid w:val="00DF2393"/>
    <w:rsid w:val="00E02D69"/>
    <w:rsid w:val="00E0634F"/>
    <w:rsid w:val="00E117F6"/>
    <w:rsid w:val="00E23A10"/>
    <w:rsid w:val="00E54C46"/>
    <w:rsid w:val="00E55140"/>
    <w:rsid w:val="00E552F2"/>
    <w:rsid w:val="00E563E7"/>
    <w:rsid w:val="00E57FFA"/>
    <w:rsid w:val="00E6490A"/>
    <w:rsid w:val="00E66788"/>
    <w:rsid w:val="00E67C3A"/>
    <w:rsid w:val="00E87E73"/>
    <w:rsid w:val="00E94B10"/>
    <w:rsid w:val="00EA01D2"/>
    <w:rsid w:val="00EA3C07"/>
    <w:rsid w:val="00EC3EE4"/>
    <w:rsid w:val="00ED3604"/>
    <w:rsid w:val="00EE1FF7"/>
    <w:rsid w:val="00EF5C7D"/>
    <w:rsid w:val="00F069B7"/>
    <w:rsid w:val="00F14E58"/>
    <w:rsid w:val="00F15903"/>
    <w:rsid w:val="00F16FF3"/>
    <w:rsid w:val="00F1795E"/>
    <w:rsid w:val="00F20B57"/>
    <w:rsid w:val="00F2338F"/>
    <w:rsid w:val="00F26791"/>
    <w:rsid w:val="00F30883"/>
    <w:rsid w:val="00F31725"/>
    <w:rsid w:val="00F31D34"/>
    <w:rsid w:val="00F36119"/>
    <w:rsid w:val="00F43A09"/>
    <w:rsid w:val="00F54398"/>
    <w:rsid w:val="00F547D0"/>
    <w:rsid w:val="00F61AA2"/>
    <w:rsid w:val="00F62945"/>
    <w:rsid w:val="00F64E8D"/>
    <w:rsid w:val="00F65278"/>
    <w:rsid w:val="00F663BB"/>
    <w:rsid w:val="00F76710"/>
    <w:rsid w:val="00F76CC9"/>
    <w:rsid w:val="00F8228A"/>
    <w:rsid w:val="00F87C67"/>
    <w:rsid w:val="00FA3C3D"/>
    <w:rsid w:val="00FA485C"/>
    <w:rsid w:val="00FB4F68"/>
    <w:rsid w:val="00FC2958"/>
    <w:rsid w:val="00FC5708"/>
    <w:rsid w:val="00FC59AC"/>
    <w:rsid w:val="00FC61E8"/>
    <w:rsid w:val="00FD6387"/>
    <w:rsid w:val="00FE1D81"/>
    <w:rsid w:val="00FE51A9"/>
    <w:rsid w:val="00FE7932"/>
    <w:rsid w:val="00FF77F9"/>
    <w:rsid w:val="00FF7F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304FE"/>
  <w15:chartTrackingRefBased/>
  <w15:docId w15:val="{67DE6B96-A60B-4B74-AA98-08E136AF9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B33B2"/>
    <w:pPr>
      <w:keepNext/>
      <w:keepLines/>
      <w:spacing w:before="240" w:line="259" w:lineRule="auto"/>
      <w:ind w:left="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7C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7F9"/>
    <w:pPr>
      <w:contextualSpacing/>
    </w:pPr>
  </w:style>
  <w:style w:type="character" w:styleId="Hyperlink">
    <w:name w:val="Hyperlink"/>
    <w:basedOn w:val="DefaultParagraphFont"/>
    <w:uiPriority w:val="99"/>
    <w:unhideWhenUsed/>
    <w:rsid w:val="00C327F9"/>
    <w:rPr>
      <w:color w:val="0563C1" w:themeColor="hyperlink"/>
      <w:u w:val="single"/>
    </w:rPr>
  </w:style>
  <w:style w:type="character" w:customStyle="1" w:styleId="Mention1">
    <w:name w:val="Mention1"/>
    <w:basedOn w:val="DefaultParagraphFont"/>
    <w:uiPriority w:val="99"/>
    <w:semiHidden/>
    <w:unhideWhenUsed/>
    <w:rsid w:val="00C327F9"/>
    <w:rPr>
      <w:color w:val="2B579A"/>
      <w:shd w:val="clear" w:color="auto" w:fill="E6E6E6"/>
    </w:rPr>
  </w:style>
  <w:style w:type="character" w:styleId="PlaceholderText">
    <w:name w:val="Placeholder Text"/>
    <w:basedOn w:val="DefaultParagraphFont"/>
    <w:uiPriority w:val="99"/>
    <w:semiHidden/>
    <w:rsid w:val="003C5C48"/>
    <w:rPr>
      <w:color w:val="808080"/>
    </w:rPr>
  </w:style>
  <w:style w:type="paragraph" w:styleId="FootnoteText">
    <w:name w:val="footnote text"/>
    <w:basedOn w:val="Normal"/>
    <w:link w:val="FootnoteTextChar"/>
    <w:uiPriority w:val="99"/>
    <w:unhideWhenUsed/>
    <w:rsid w:val="00871027"/>
    <w:rPr>
      <w:sz w:val="20"/>
      <w:szCs w:val="20"/>
    </w:rPr>
  </w:style>
  <w:style w:type="character" w:customStyle="1" w:styleId="FootnoteTextChar">
    <w:name w:val="Footnote Text Char"/>
    <w:basedOn w:val="DefaultParagraphFont"/>
    <w:link w:val="FootnoteText"/>
    <w:uiPriority w:val="99"/>
    <w:rsid w:val="00871027"/>
    <w:rPr>
      <w:sz w:val="20"/>
      <w:szCs w:val="20"/>
    </w:rPr>
  </w:style>
  <w:style w:type="character" w:styleId="FootnoteReference">
    <w:name w:val="footnote reference"/>
    <w:basedOn w:val="DefaultParagraphFont"/>
    <w:uiPriority w:val="99"/>
    <w:unhideWhenUsed/>
    <w:rsid w:val="00871027"/>
    <w:rPr>
      <w:vertAlign w:val="superscript"/>
    </w:rPr>
  </w:style>
  <w:style w:type="character" w:styleId="FollowedHyperlink">
    <w:name w:val="FollowedHyperlink"/>
    <w:basedOn w:val="DefaultParagraphFont"/>
    <w:uiPriority w:val="99"/>
    <w:semiHidden/>
    <w:unhideWhenUsed/>
    <w:rsid w:val="003C2F8B"/>
    <w:rPr>
      <w:color w:val="954F72" w:themeColor="followedHyperlink"/>
      <w:u w:val="single"/>
    </w:rPr>
  </w:style>
  <w:style w:type="character" w:customStyle="1" w:styleId="Heading1Char">
    <w:name w:val="Heading 1 Char"/>
    <w:basedOn w:val="DefaultParagraphFont"/>
    <w:link w:val="Heading1"/>
    <w:uiPriority w:val="9"/>
    <w:rsid w:val="00BB33B2"/>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BB33B2"/>
    <w:pPr>
      <w:ind w:hanging="720"/>
    </w:pPr>
  </w:style>
  <w:style w:type="character" w:customStyle="1" w:styleId="apple-converted-space">
    <w:name w:val="apple-converted-space"/>
    <w:basedOn w:val="DefaultParagraphFont"/>
    <w:rsid w:val="006F7274"/>
  </w:style>
  <w:style w:type="paragraph" w:customStyle="1" w:styleId="Default">
    <w:name w:val="Default"/>
    <w:rsid w:val="00E02D69"/>
    <w:pPr>
      <w:autoSpaceDE w:val="0"/>
      <w:autoSpaceDN w:val="0"/>
      <w:adjustRightInd w:val="0"/>
      <w:ind w:left="0"/>
    </w:pPr>
    <w:rPr>
      <w:rFonts w:ascii="Times New Roman" w:hAnsi="Times New Roman" w:cs="Times New Roman"/>
      <w:color w:val="000000"/>
      <w:sz w:val="24"/>
      <w:szCs w:val="24"/>
    </w:rPr>
  </w:style>
  <w:style w:type="paragraph" w:customStyle="1" w:styleId="p1">
    <w:name w:val="p1"/>
    <w:basedOn w:val="Normal"/>
    <w:rsid w:val="004033D8"/>
    <w:pPr>
      <w:ind w:left="0"/>
    </w:pPr>
    <w:rPr>
      <w:rFonts w:ascii="Helvetica" w:hAnsi="Helvetica" w:cs="Times New Roman"/>
      <w:color w:val="11314F"/>
      <w:sz w:val="17"/>
      <w:szCs w:val="17"/>
    </w:rPr>
  </w:style>
  <w:style w:type="paragraph" w:styleId="BalloonText">
    <w:name w:val="Balloon Text"/>
    <w:basedOn w:val="Normal"/>
    <w:link w:val="BalloonTextChar"/>
    <w:uiPriority w:val="99"/>
    <w:semiHidden/>
    <w:unhideWhenUsed/>
    <w:rsid w:val="007553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333"/>
    <w:rPr>
      <w:rFonts w:ascii="Segoe UI" w:hAnsi="Segoe UI" w:cs="Segoe UI"/>
      <w:sz w:val="18"/>
      <w:szCs w:val="18"/>
    </w:rPr>
  </w:style>
  <w:style w:type="character" w:styleId="CommentReference">
    <w:name w:val="annotation reference"/>
    <w:basedOn w:val="DefaultParagraphFont"/>
    <w:uiPriority w:val="99"/>
    <w:semiHidden/>
    <w:unhideWhenUsed/>
    <w:rsid w:val="00C92C24"/>
    <w:rPr>
      <w:sz w:val="16"/>
      <w:szCs w:val="16"/>
    </w:rPr>
  </w:style>
  <w:style w:type="paragraph" w:styleId="CommentText">
    <w:name w:val="annotation text"/>
    <w:basedOn w:val="Normal"/>
    <w:link w:val="CommentTextChar"/>
    <w:uiPriority w:val="99"/>
    <w:semiHidden/>
    <w:unhideWhenUsed/>
    <w:rsid w:val="00C92C24"/>
    <w:rPr>
      <w:sz w:val="20"/>
      <w:szCs w:val="20"/>
    </w:rPr>
  </w:style>
  <w:style w:type="character" w:customStyle="1" w:styleId="CommentTextChar">
    <w:name w:val="Comment Text Char"/>
    <w:basedOn w:val="DefaultParagraphFont"/>
    <w:link w:val="CommentText"/>
    <w:uiPriority w:val="99"/>
    <w:semiHidden/>
    <w:rsid w:val="00C92C24"/>
    <w:rPr>
      <w:sz w:val="20"/>
      <w:szCs w:val="20"/>
    </w:rPr>
  </w:style>
  <w:style w:type="paragraph" w:styleId="CommentSubject">
    <w:name w:val="annotation subject"/>
    <w:basedOn w:val="CommentText"/>
    <w:next w:val="CommentText"/>
    <w:link w:val="CommentSubjectChar"/>
    <w:uiPriority w:val="99"/>
    <w:semiHidden/>
    <w:unhideWhenUsed/>
    <w:rsid w:val="00C92C24"/>
    <w:rPr>
      <w:b/>
      <w:bCs/>
    </w:rPr>
  </w:style>
  <w:style w:type="character" w:customStyle="1" w:styleId="CommentSubjectChar">
    <w:name w:val="Comment Subject Char"/>
    <w:basedOn w:val="CommentTextChar"/>
    <w:link w:val="CommentSubject"/>
    <w:uiPriority w:val="99"/>
    <w:semiHidden/>
    <w:rsid w:val="00C92C24"/>
    <w:rPr>
      <w:b/>
      <w:bCs/>
      <w:sz w:val="20"/>
      <w:szCs w:val="20"/>
    </w:rPr>
  </w:style>
  <w:style w:type="character" w:customStyle="1" w:styleId="Heading2Char">
    <w:name w:val="Heading 2 Char"/>
    <w:basedOn w:val="DefaultParagraphFont"/>
    <w:link w:val="Heading2"/>
    <w:uiPriority w:val="9"/>
    <w:rsid w:val="003E7C6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C41D2"/>
    <w:pPr>
      <w:tabs>
        <w:tab w:val="center" w:pos="4680"/>
        <w:tab w:val="right" w:pos="9360"/>
      </w:tabs>
    </w:pPr>
  </w:style>
  <w:style w:type="character" w:customStyle="1" w:styleId="HeaderChar">
    <w:name w:val="Header Char"/>
    <w:basedOn w:val="DefaultParagraphFont"/>
    <w:link w:val="Header"/>
    <w:uiPriority w:val="99"/>
    <w:rsid w:val="00DC41D2"/>
  </w:style>
  <w:style w:type="paragraph" w:styleId="Footer">
    <w:name w:val="footer"/>
    <w:basedOn w:val="Normal"/>
    <w:link w:val="FooterChar"/>
    <w:uiPriority w:val="99"/>
    <w:unhideWhenUsed/>
    <w:rsid w:val="00DC41D2"/>
    <w:pPr>
      <w:tabs>
        <w:tab w:val="center" w:pos="4680"/>
        <w:tab w:val="right" w:pos="9360"/>
      </w:tabs>
    </w:pPr>
  </w:style>
  <w:style w:type="character" w:customStyle="1" w:styleId="FooterChar">
    <w:name w:val="Footer Char"/>
    <w:basedOn w:val="DefaultParagraphFont"/>
    <w:link w:val="Footer"/>
    <w:uiPriority w:val="99"/>
    <w:rsid w:val="00DC41D2"/>
  </w:style>
  <w:style w:type="character" w:customStyle="1" w:styleId="UnresolvedMention1">
    <w:name w:val="Unresolved Mention1"/>
    <w:basedOn w:val="DefaultParagraphFont"/>
    <w:uiPriority w:val="99"/>
    <w:semiHidden/>
    <w:unhideWhenUsed/>
    <w:rsid w:val="0049494B"/>
    <w:rPr>
      <w:color w:val="808080"/>
      <w:shd w:val="clear" w:color="auto" w:fill="E6E6E6"/>
    </w:rPr>
  </w:style>
  <w:style w:type="character" w:styleId="EndnoteReference">
    <w:name w:val="endnote reference"/>
    <w:basedOn w:val="DefaultParagraphFont"/>
    <w:uiPriority w:val="99"/>
    <w:semiHidden/>
    <w:unhideWhenUsed/>
    <w:rsid w:val="00822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8138">
      <w:bodyDiv w:val="1"/>
      <w:marLeft w:val="0"/>
      <w:marRight w:val="0"/>
      <w:marTop w:val="0"/>
      <w:marBottom w:val="0"/>
      <w:divBdr>
        <w:top w:val="none" w:sz="0" w:space="0" w:color="auto"/>
        <w:left w:val="none" w:sz="0" w:space="0" w:color="auto"/>
        <w:bottom w:val="none" w:sz="0" w:space="0" w:color="auto"/>
        <w:right w:val="none" w:sz="0" w:space="0" w:color="auto"/>
      </w:divBdr>
    </w:div>
    <w:div w:id="9140107">
      <w:bodyDiv w:val="1"/>
      <w:marLeft w:val="0"/>
      <w:marRight w:val="0"/>
      <w:marTop w:val="0"/>
      <w:marBottom w:val="0"/>
      <w:divBdr>
        <w:top w:val="none" w:sz="0" w:space="0" w:color="auto"/>
        <w:left w:val="none" w:sz="0" w:space="0" w:color="auto"/>
        <w:bottom w:val="none" w:sz="0" w:space="0" w:color="auto"/>
        <w:right w:val="none" w:sz="0" w:space="0" w:color="auto"/>
      </w:divBdr>
    </w:div>
    <w:div w:id="24451862">
      <w:bodyDiv w:val="1"/>
      <w:marLeft w:val="0"/>
      <w:marRight w:val="0"/>
      <w:marTop w:val="0"/>
      <w:marBottom w:val="0"/>
      <w:divBdr>
        <w:top w:val="none" w:sz="0" w:space="0" w:color="auto"/>
        <w:left w:val="none" w:sz="0" w:space="0" w:color="auto"/>
        <w:bottom w:val="none" w:sz="0" w:space="0" w:color="auto"/>
        <w:right w:val="none" w:sz="0" w:space="0" w:color="auto"/>
      </w:divBdr>
    </w:div>
    <w:div w:id="29958059">
      <w:bodyDiv w:val="1"/>
      <w:marLeft w:val="0"/>
      <w:marRight w:val="0"/>
      <w:marTop w:val="0"/>
      <w:marBottom w:val="0"/>
      <w:divBdr>
        <w:top w:val="none" w:sz="0" w:space="0" w:color="auto"/>
        <w:left w:val="none" w:sz="0" w:space="0" w:color="auto"/>
        <w:bottom w:val="none" w:sz="0" w:space="0" w:color="auto"/>
        <w:right w:val="none" w:sz="0" w:space="0" w:color="auto"/>
      </w:divBdr>
    </w:div>
    <w:div w:id="43216070">
      <w:bodyDiv w:val="1"/>
      <w:marLeft w:val="0"/>
      <w:marRight w:val="0"/>
      <w:marTop w:val="0"/>
      <w:marBottom w:val="0"/>
      <w:divBdr>
        <w:top w:val="none" w:sz="0" w:space="0" w:color="auto"/>
        <w:left w:val="none" w:sz="0" w:space="0" w:color="auto"/>
        <w:bottom w:val="none" w:sz="0" w:space="0" w:color="auto"/>
        <w:right w:val="none" w:sz="0" w:space="0" w:color="auto"/>
      </w:divBdr>
    </w:div>
    <w:div w:id="48043460">
      <w:bodyDiv w:val="1"/>
      <w:marLeft w:val="0"/>
      <w:marRight w:val="0"/>
      <w:marTop w:val="0"/>
      <w:marBottom w:val="0"/>
      <w:divBdr>
        <w:top w:val="none" w:sz="0" w:space="0" w:color="auto"/>
        <w:left w:val="none" w:sz="0" w:space="0" w:color="auto"/>
        <w:bottom w:val="none" w:sz="0" w:space="0" w:color="auto"/>
        <w:right w:val="none" w:sz="0" w:space="0" w:color="auto"/>
      </w:divBdr>
    </w:div>
    <w:div w:id="60250713">
      <w:bodyDiv w:val="1"/>
      <w:marLeft w:val="0"/>
      <w:marRight w:val="0"/>
      <w:marTop w:val="0"/>
      <w:marBottom w:val="0"/>
      <w:divBdr>
        <w:top w:val="none" w:sz="0" w:space="0" w:color="auto"/>
        <w:left w:val="none" w:sz="0" w:space="0" w:color="auto"/>
        <w:bottom w:val="none" w:sz="0" w:space="0" w:color="auto"/>
        <w:right w:val="none" w:sz="0" w:space="0" w:color="auto"/>
      </w:divBdr>
    </w:div>
    <w:div w:id="149560840">
      <w:bodyDiv w:val="1"/>
      <w:marLeft w:val="0"/>
      <w:marRight w:val="0"/>
      <w:marTop w:val="0"/>
      <w:marBottom w:val="0"/>
      <w:divBdr>
        <w:top w:val="none" w:sz="0" w:space="0" w:color="auto"/>
        <w:left w:val="none" w:sz="0" w:space="0" w:color="auto"/>
        <w:bottom w:val="none" w:sz="0" w:space="0" w:color="auto"/>
        <w:right w:val="none" w:sz="0" w:space="0" w:color="auto"/>
      </w:divBdr>
    </w:div>
    <w:div w:id="173615279">
      <w:bodyDiv w:val="1"/>
      <w:marLeft w:val="0"/>
      <w:marRight w:val="0"/>
      <w:marTop w:val="0"/>
      <w:marBottom w:val="0"/>
      <w:divBdr>
        <w:top w:val="none" w:sz="0" w:space="0" w:color="auto"/>
        <w:left w:val="none" w:sz="0" w:space="0" w:color="auto"/>
        <w:bottom w:val="none" w:sz="0" w:space="0" w:color="auto"/>
        <w:right w:val="none" w:sz="0" w:space="0" w:color="auto"/>
      </w:divBdr>
    </w:div>
    <w:div w:id="177349807">
      <w:bodyDiv w:val="1"/>
      <w:marLeft w:val="0"/>
      <w:marRight w:val="0"/>
      <w:marTop w:val="0"/>
      <w:marBottom w:val="0"/>
      <w:divBdr>
        <w:top w:val="none" w:sz="0" w:space="0" w:color="auto"/>
        <w:left w:val="none" w:sz="0" w:space="0" w:color="auto"/>
        <w:bottom w:val="none" w:sz="0" w:space="0" w:color="auto"/>
        <w:right w:val="none" w:sz="0" w:space="0" w:color="auto"/>
      </w:divBdr>
    </w:div>
    <w:div w:id="179318799">
      <w:bodyDiv w:val="1"/>
      <w:marLeft w:val="0"/>
      <w:marRight w:val="0"/>
      <w:marTop w:val="0"/>
      <w:marBottom w:val="0"/>
      <w:divBdr>
        <w:top w:val="none" w:sz="0" w:space="0" w:color="auto"/>
        <w:left w:val="none" w:sz="0" w:space="0" w:color="auto"/>
        <w:bottom w:val="none" w:sz="0" w:space="0" w:color="auto"/>
        <w:right w:val="none" w:sz="0" w:space="0" w:color="auto"/>
      </w:divBdr>
    </w:div>
    <w:div w:id="213276798">
      <w:bodyDiv w:val="1"/>
      <w:marLeft w:val="0"/>
      <w:marRight w:val="0"/>
      <w:marTop w:val="0"/>
      <w:marBottom w:val="0"/>
      <w:divBdr>
        <w:top w:val="none" w:sz="0" w:space="0" w:color="auto"/>
        <w:left w:val="none" w:sz="0" w:space="0" w:color="auto"/>
        <w:bottom w:val="none" w:sz="0" w:space="0" w:color="auto"/>
        <w:right w:val="none" w:sz="0" w:space="0" w:color="auto"/>
      </w:divBdr>
    </w:div>
    <w:div w:id="230892666">
      <w:bodyDiv w:val="1"/>
      <w:marLeft w:val="0"/>
      <w:marRight w:val="0"/>
      <w:marTop w:val="0"/>
      <w:marBottom w:val="0"/>
      <w:divBdr>
        <w:top w:val="none" w:sz="0" w:space="0" w:color="auto"/>
        <w:left w:val="none" w:sz="0" w:space="0" w:color="auto"/>
        <w:bottom w:val="none" w:sz="0" w:space="0" w:color="auto"/>
        <w:right w:val="none" w:sz="0" w:space="0" w:color="auto"/>
      </w:divBdr>
    </w:div>
    <w:div w:id="262229312">
      <w:bodyDiv w:val="1"/>
      <w:marLeft w:val="0"/>
      <w:marRight w:val="0"/>
      <w:marTop w:val="0"/>
      <w:marBottom w:val="0"/>
      <w:divBdr>
        <w:top w:val="none" w:sz="0" w:space="0" w:color="auto"/>
        <w:left w:val="none" w:sz="0" w:space="0" w:color="auto"/>
        <w:bottom w:val="none" w:sz="0" w:space="0" w:color="auto"/>
        <w:right w:val="none" w:sz="0" w:space="0" w:color="auto"/>
      </w:divBdr>
    </w:div>
    <w:div w:id="330571649">
      <w:bodyDiv w:val="1"/>
      <w:marLeft w:val="0"/>
      <w:marRight w:val="0"/>
      <w:marTop w:val="0"/>
      <w:marBottom w:val="0"/>
      <w:divBdr>
        <w:top w:val="none" w:sz="0" w:space="0" w:color="auto"/>
        <w:left w:val="none" w:sz="0" w:space="0" w:color="auto"/>
        <w:bottom w:val="none" w:sz="0" w:space="0" w:color="auto"/>
        <w:right w:val="none" w:sz="0" w:space="0" w:color="auto"/>
      </w:divBdr>
    </w:div>
    <w:div w:id="436684403">
      <w:bodyDiv w:val="1"/>
      <w:marLeft w:val="0"/>
      <w:marRight w:val="0"/>
      <w:marTop w:val="0"/>
      <w:marBottom w:val="0"/>
      <w:divBdr>
        <w:top w:val="none" w:sz="0" w:space="0" w:color="auto"/>
        <w:left w:val="none" w:sz="0" w:space="0" w:color="auto"/>
        <w:bottom w:val="none" w:sz="0" w:space="0" w:color="auto"/>
        <w:right w:val="none" w:sz="0" w:space="0" w:color="auto"/>
      </w:divBdr>
    </w:div>
    <w:div w:id="438641589">
      <w:bodyDiv w:val="1"/>
      <w:marLeft w:val="0"/>
      <w:marRight w:val="0"/>
      <w:marTop w:val="0"/>
      <w:marBottom w:val="0"/>
      <w:divBdr>
        <w:top w:val="none" w:sz="0" w:space="0" w:color="auto"/>
        <w:left w:val="none" w:sz="0" w:space="0" w:color="auto"/>
        <w:bottom w:val="none" w:sz="0" w:space="0" w:color="auto"/>
        <w:right w:val="none" w:sz="0" w:space="0" w:color="auto"/>
      </w:divBdr>
    </w:div>
    <w:div w:id="486945466">
      <w:bodyDiv w:val="1"/>
      <w:marLeft w:val="0"/>
      <w:marRight w:val="0"/>
      <w:marTop w:val="0"/>
      <w:marBottom w:val="0"/>
      <w:divBdr>
        <w:top w:val="none" w:sz="0" w:space="0" w:color="auto"/>
        <w:left w:val="none" w:sz="0" w:space="0" w:color="auto"/>
        <w:bottom w:val="none" w:sz="0" w:space="0" w:color="auto"/>
        <w:right w:val="none" w:sz="0" w:space="0" w:color="auto"/>
      </w:divBdr>
    </w:div>
    <w:div w:id="492376585">
      <w:bodyDiv w:val="1"/>
      <w:marLeft w:val="0"/>
      <w:marRight w:val="0"/>
      <w:marTop w:val="0"/>
      <w:marBottom w:val="0"/>
      <w:divBdr>
        <w:top w:val="none" w:sz="0" w:space="0" w:color="auto"/>
        <w:left w:val="none" w:sz="0" w:space="0" w:color="auto"/>
        <w:bottom w:val="none" w:sz="0" w:space="0" w:color="auto"/>
        <w:right w:val="none" w:sz="0" w:space="0" w:color="auto"/>
      </w:divBdr>
    </w:div>
    <w:div w:id="514853647">
      <w:bodyDiv w:val="1"/>
      <w:marLeft w:val="0"/>
      <w:marRight w:val="0"/>
      <w:marTop w:val="0"/>
      <w:marBottom w:val="0"/>
      <w:divBdr>
        <w:top w:val="none" w:sz="0" w:space="0" w:color="auto"/>
        <w:left w:val="none" w:sz="0" w:space="0" w:color="auto"/>
        <w:bottom w:val="none" w:sz="0" w:space="0" w:color="auto"/>
        <w:right w:val="none" w:sz="0" w:space="0" w:color="auto"/>
      </w:divBdr>
    </w:div>
    <w:div w:id="531305774">
      <w:bodyDiv w:val="1"/>
      <w:marLeft w:val="0"/>
      <w:marRight w:val="0"/>
      <w:marTop w:val="0"/>
      <w:marBottom w:val="0"/>
      <w:divBdr>
        <w:top w:val="none" w:sz="0" w:space="0" w:color="auto"/>
        <w:left w:val="none" w:sz="0" w:space="0" w:color="auto"/>
        <w:bottom w:val="none" w:sz="0" w:space="0" w:color="auto"/>
        <w:right w:val="none" w:sz="0" w:space="0" w:color="auto"/>
      </w:divBdr>
    </w:div>
    <w:div w:id="559831726">
      <w:bodyDiv w:val="1"/>
      <w:marLeft w:val="0"/>
      <w:marRight w:val="0"/>
      <w:marTop w:val="0"/>
      <w:marBottom w:val="0"/>
      <w:divBdr>
        <w:top w:val="none" w:sz="0" w:space="0" w:color="auto"/>
        <w:left w:val="none" w:sz="0" w:space="0" w:color="auto"/>
        <w:bottom w:val="none" w:sz="0" w:space="0" w:color="auto"/>
        <w:right w:val="none" w:sz="0" w:space="0" w:color="auto"/>
      </w:divBdr>
    </w:div>
    <w:div w:id="570508633">
      <w:bodyDiv w:val="1"/>
      <w:marLeft w:val="0"/>
      <w:marRight w:val="0"/>
      <w:marTop w:val="0"/>
      <w:marBottom w:val="0"/>
      <w:divBdr>
        <w:top w:val="none" w:sz="0" w:space="0" w:color="auto"/>
        <w:left w:val="none" w:sz="0" w:space="0" w:color="auto"/>
        <w:bottom w:val="none" w:sz="0" w:space="0" w:color="auto"/>
        <w:right w:val="none" w:sz="0" w:space="0" w:color="auto"/>
      </w:divBdr>
    </w:div>
    <w:div w:id="585192559">
      <w:bodyDiv w:val="1"/>
      <w:marLeft w:val="0"/>
      <w:marRight w:val="0"/>
      <w:marTop w:val="0"/>
      <w:marBottom w:val="0"/>
      <w:divBdr>
        <w:top w:val="none" w:sz="0" w:space="0" w:color="auto"/>
        <w:left w:val="none" w:sz="0" w:space="0" w:color="auto"/>
        <w:bottom w:val="none" w:sz="0" w:space="0" w:color="auto"/>
        <w:right w:val="none" w:sz="0" w:space="0" w:color="auto"/>
      </w:divBdr>
    </w:div>
    <w:div w:id="587419948">
      <w:bodyDiv w:val="1"/>
      <w:marLeft w:val="0"/>
      <w:marRight w:val="0"/>
      <w:marTop w:val="0"/>
      <w:marBottom w:val="0"/>
      <w:divBdr>
        <w:top w:val="none" w:sz="0" w:space="0" w:color="auto"/>
        <w:left w:val="none" w:sz="0" w:space="0" w:color="auto"/>
        <w:bottom w:val="none" w:sz="0" w:space="0" w:color="auto"/>
        <w:right w:val="none" w:sz="0" w:space="0" w:color="auto"/>
      </w:divBdr>
    </w:div>
    <w:div w:id="590356437">
      <w:bodyDiv w:val="1"/>
      <w:marLeft w:val="0"/>
      <w:marRight w:val="0"/>
      <w:marTop w:val="0"/>
      <w:marBottom w:val="0"/>
      <w:divBdr>
        <w:top w:val="none" w:sz="0" w:space="0" w:color="auto"/>
        <w:left w:val="none" w:sz="0" w:space="0" w:color="auto"/>
        <w:bottom w:val="none" w:sz="0" w:space="0" w:color="auto"/>
        <w:right w:val="none" w:sz="0" w:space="0" w:color="auto"/>
      </w:divBdr>
    </w:div>
    <w:div w:id="668555673">
      <w:bodyDiv w:val="1"/>
      <w:marLeft w:val="0"/>
      <w:marRight w:val="0"/>
      <w:marTop w:val="0"/>
      <w:marBottom w:val="0"/>
      <w:divBdr>
        <w:top w:val="none" w:sz="0" w:space="0" w:color="auto"/>
        <w:left w:val="none" w:sz="0" w:space="0" w:color="auto"/>
        <w:bottom w:val="none" w:sz="0" w:space="0" w:color="auto"/>
        <w:right w:val="none" w:sz="0" w:space="0" w:color="auto"/>
      </w:divBdr>
    </w:div>
    <w:div w:id="746613271">
      <w:bodyDiv w:val="1"/>
      <w:marLeft w:val="0"/>
      <w:marRight w:val="0"/>
      <w:marTop w:val="0"/>
      <w:marBottom w:val="0"/>
      <w:divBdr>
        <w:top w:val="none" w:sz="0" w:space="0" w:color="auto"/>
        <w:left w:val="none" w:sz="0" w:space="0" w:color="auto"/>
        <w:bottom w:val="none" w:sz="0" w:space="0" w:color="auto"/>
        <w:right w:val="none" w:sz="0" w:space="0" w:color="auto"/>
      </w:divBdr>
    </w:div>
    <w:div w:id="786121450">
      <w:bodyDiv w:val="1"/>
      <w:marLeft w:val="0"/>
      <w:marRight w:val="0"/>
      <w:marTop w:val="0"/>
      <w:marBottom w:val="0"/>
      <w:divBdr>
        <w:top w:val="none" w:sz="0" w:space="0" w:color="auto"/>
        <w:left w:val="none" w:sz="0" w:space="0" w:color="auto"/>
        <w:bottom w:val="none" w:sz="0" w:space="0" w:color="auto"/>
        <w:right w:val="none" w:sz="0" w:space="0" w:color="auto"/>
      </w:divBdr>
    </w:div>
    <w:div w:id="787430552">
      <w:bodyDiv w:val="1"/>
      <w:marLeft w:val="0"/>
      <w:marRight w:val="0"/>
      <w:marTop w:val="0"/>
      <w:marBottom w:val="0"/>
      <w:divBdr>
        <w:top w:val="none" w:sz="0" w:space="0" w:color="auto"/>
        <w:left w:val="none" w:sz="0" w:space="0" w:color="auto"/>
        <w:bottom w:val="none" w:sz="0" w:space="0" w:color="auto"/>
        <w:right w:val="none" w:sz="0" w:space="0" w:color="auto"/>
      </w:divBdr>
    </w:div>
    <w:div w:id="891766347">
      <w:bodyDiv w:val="1"/>
      <w:marLeft w:val="0"/>
      <w:marRight w:val="0"/>
      <w:marTop w:val="0"/>
      <w:marBottom w:val="0"/>
      <w:divBdr>
        <w:top w:val="none" w:sz="0" w:space="0" w:color="auto"/>
        <w:left w:val="none" w:sz="0" w:space="0" w:color="auto"/>
        <w:bottom w:val="none" w:sz="0" w:space="0" w:color="auto"/>
        <w:right w:val="none" w:sz="0" w:space="0" w:color="auto"/>
      </w:divBdr>
    </w:div>
    <w:div w:id="906958285">
      <w:bodyDiv w:val="1"/>
      <w:marLeft w:val="0"/>
      <w:marRight w:val="0"/>
      <w:marTop w:val="0"/>
      <w:marBottom w:val="0"/>
      <w:divBdr>
        <w:top w:val="none" w:sz="0" w:space="0" w:color="auto"/>
        <w:left w:val="none" w:sz="0" w:space="0" w:color="auto"/>
        <w:bottom w:val="none" w:sz="0" w:space="0" w:color="auto"/>
        <w:right w:val="none" w:sz="0" w:space="0" w:color="auto"/>
      </w:divBdr>
    </w:div>
    <w:div w:id="917790447">
      <w:bodyDiv w:val="1"/>
      <w:marLeft w:val="0"/>
      <w:marRight w:val="0"/>
      <w:marTop w:val="0"/>
      <w:marBottom w:val="0"/>
      <w:divBdr>
        <w:top w:val="none" w:sz="0" w:space="0" w:color="auto"/>
        <w:left w:val="none" w:sz="0" w:space="0" w:color="auto"/>
        <w:bottom w:val="none" w:sz="0" w:space="0" w:color="auto"/>
        <w:right w:val="none" w:sz="0" w:space="0" w:color="auto"/>
      </w:divBdr>
    </w:div>
    <w:div w:id="923760447">
      <w:bodyDiv w:val="1"/>
      <w:marLeft w:val="0"/>
      <w:marRight w:val="0"/>
      <w:marTop w:val="0"/>
      <w:marBottom w:val="0"/>
      <w:divBdr>
        <w:top w:val="none" w:sz="0" w:space="0" w:color="auto"/>
        <w:left w:val="none" w:sz="0" w:space="0" w:color="auto"/>
        <w:bottom w:val="none" w:sz="0" w:space="0" w:color="auto"/>
        <w:right w:val="none" w:sz="0" w:space="0" w:color="auto"/>
      </w:divBdr>
    </w:div>
    <w:div w:id="942610975">
      <w:bodyDiv w:val="1"/>
      <w:marLeft w:val="0"/>
      <w:marRight w:val="0"/>
      <w:marTop w:val="0"/>
      <w:marBottom w:val="0"/>
      <w:divBdr>
        <w:top w:val="none" w:sz="0" w:space="0" w:color="auto"/>
        <w:left w:val="none" w:sz="0" w:space="0" w:color="auto"/>
        <w:bottom w:val="none" w:sz="0" w:space="0" w:color="auto"/>
        <w:right w:val="none" w:sz="0" w:space="0" w:color="auto"/>
      </w:divBdr>
    </w:div>
    <w:div w:id="983702828">
      <w:bodyDiv w:val="1"/>
      <w:marLeft w:val="0"/>
      <w:marRight w:val="0"/>
      <w:marTop w:val="0"/>
      <w:marBottom w:val="0"/>
      <w:divBdr>
        <w:top w:val="none" w:sz="0" w:space="0" w:color="auto"/>
        <w:left w:val="none" w:sz="0" w:space="0" w:color="auto"/>
        <w:bottom w:val="none" w:sz="0" w:space="0" w:color="auto"/>
        <w:right w:val="none" w:sz="0" w:space="0" w:color="auto"/>
      </w:divBdr>
    </w:div>
    <w:div w:id="1024985949">
      <w:bodyDiv w:val="1"/>
      <w:marLeft w:val="0"/>
      <w:marRight w:val="0"/>
      <w:marTop w:val="0"/>
      <w:marBottom w:val="0"/>
      <w:divBdr>
        <w:top w:val="none" w:sz="0" w:space="0" w:color="auto"/>
        <w:left w:val="none" w:sz="0" w:space="0" w:color="auto"/>
        <w:bottom w:val="none" w:sz="0" w:space="0" w:color="auto"/>
        <w:right w:val="none" w:sz="0" w:space="0" w:color="auto"/>
      </w:divBdr>
    </w:div>
    <w:div w:id="1065104927">
      <w:bodyDiv w:val="1"/>
      <w:marLeft w:val="0"/>
      <w:marRight w:val="0"/>
      <w:marTop w:val="0"/>
      <w:marBottom w:val="0"/>
      <w:divBdr>
        <w:top w:val="none" w:sz="0" w:space="0" w:color="auto"/>
        <w:left w:val="none" w:sz="0" w:space="0" w:color="auto"/>
        <w:bottom w:val="none" w:sz="0" w:space="0" w:color="auto"/>
        <w:right w:val="none" w:sz="0" w:space="0" w:color="auto"/>
      </w:divBdr>
    </w:div>
    <w:div w:id="1077946850">
      <w:bodyDiv w:val="1"/>
      <w:marLeft w:val="0"/>
      <w:marRight w:val="0"/>
      <w:marTop w:val="0"/>
      <w:marBottom w:val="0"/>
      <w:divBdr>
        <w:top w:val="none" w:sz="0" w:space="0" w:color="auto"/>
        <w:left w:val="none" w:sz="0" w:space="0" w:color="auto"/>
        <w:bottom w:val="none" w:sz="0" w:space="0" w:color="auto"/>
        <w:right w:val="none" w:sz="0" w:space="0" w:color="auto"/>
      </w:divBdr>
    </w:div>
    <w:div w:id="1091585898">
      <w:bodyDiv w:val="1"/>
      <w:marLeft w:val="0"/>
      <w:marRight w:val="0"/>
      <w:marTop w:val="0"/>
      <w:marBottom w:val="0"/>
      <w:divBdr>
        <w:top w:val="none" w:sz="0" w:space="0" w:color="auto"/>
        <w:left w:val="none" w:sz="0" w:space="0" w:color="auto"/>
        <w:bottom w:val="none" w:sz="0" w:space="0" w:color="auto"/>
        <w:right w:val="none" w:sz="0" w:space="0" w:color="auto"/>
      </w:divBdr>
    </w:div>
    <w:div w:id="1107042194">
      <w:bodyDiv w:val="1"/>
      <w:marLeft w:val="0"/>
      <w:marRight w:val="0"/>
      <w:marTop w:val="0"/>
      <w:marBottom w:val="0"/>
      <w:divBdr>
        <w:top w:val="none" w:sz="0" w:space="0" w:color="auto"/>
        <w:left w:val="none" w:sz="0" w:space="0" w:color="auto"/>
        <w:bottom w:val="none" w:sz="0" w:space="0" w:color="auto"/>
        <w:right w:val="none" w:sz="0" w:space="0" w:color="auto"/>
      </w:divBdr>
    </w:div>
    <w:div w:id="1139609635">
      <w:bodyDiv w:val="1"/>
      <w:marLeft w:val="0"/>
      <w:marRight w:val="0"/>
      <w:marTop w:val="0"/>
      <w:marBottom w:val="0"/>
      <w:divBdr>
        <w:top w:val="none" w:sz="0" w:space="0" w:color="auto"/>
        <w:left w:val="none" w:sz="0" w:space="0" w:color="auto"/>
        <w:bottom w:val="none" w:sz="0" w:space="0" w:color="auto"/>
        <w:right w:val="none" w:sz="0" w:space="0" w:color="auto"/>
      </w:divBdr>
    </w:div>
    <w:div w:id="1143694724">
      <w:bodyDiv w:val="1"/>
      <w:marLeft w:val="0"/>
      <w:marRight w:val="0"/>
      <w:marTop w:val="0"/>
      <w:marBottom w:val="0"/>
      <w:divBdr>
        <w:top w:val="none" w:sz="0" w:space="0" w:color="auto"/>
        <w:left w:val="none" w:sz="0" w:space="0" w:color="auto"/>
        <w:bottom w:val="none" w:sz="0" w:space="0" w:color="auto"/>
        <w:right w:val="none" w:sz="0" w:space="0" w:color="auto"/>
      </w:divBdr>
    </w:div>
    <w:div w:id="1211382940">
      <w:bodyDiv w:val="1"/>
      <w:marLeft w:val="0"/>
      <w:marRight w:val="0"/>
      <w:marTop w:val="0"/>
      <w:marBottom w:val="0"/>
      <w:divBdr>
        <w:top w:val="none" w:sz="0" w:space="0" w:color="auto"/>
        <w:left w:val="none" w:sz="0" w:space="0" w:color="auto"/>
        <w:bottom w:val="none" w:sz="0" w:space="0" w:color="auto"/>
        <w:right w:val="none" w:sz="0" w:space="0" w:color="auto"/>
      </w:divBdr>
    </w:div>
    <w:div w:id="1226452992">
      <w:bodyDiv w:val="1"/>
      <w:marLeft w:val="0"/>
      <w:marRight w:val="0"/>
      <w:marTop w:val="0"/>
      <w:marBottom w:val="0"/>
      <w:divBdr>
        <w:top w:val="none" w:sz="0" w:space="0" w:color="auto"/>
        <w:left w:val="none" w:sz="0" w:space="0" w:color="auto"/>
        <w:bottom w:val="none" w:sz="0" w:space="0" w:color="auto"/>
        <w:right w:val="none" w:sz="0" w:space="0" w:color="auto"/>
      </w:divBdr>
    </w:div>
    <w:div w:id="1286624197">
      <w:bodyDiv w:val="1"/>
      <w:marLeft w:val="0"/>
      <w:marRight w:val="0"/>
      <w:marTop w:val="0"/>
      <w:marBottom w:val="0"/>
      <w:divBdr>
        <w:top w:val="none" w:sz="0" w:space="0" w:color="auto"/>
        <w:left w:val="none" w:sz="0" w:space="0" w:color="auto"/>
        <w:bottom w:val="none" w:sz="0" w:space="0" w:color="auto"/>
        <w:right w:val="none" w:sz="0" w:space="0" w:color="auto"/>
      </w:divBdr>
    </w:div>
    <w:div w:id="1289970683">
      <w:bodyDiv w:val="1"/>
      <w:marLeft w:val="0"/>
      <w:marRight w:val="0"/>
      <w:marTop w:val="0"/>
      <w:marBottom w:val="0"/>
      <w:divBdr>
        <w:top w:val="none" w:sz="0" w:space="0" w:color="auto"/>
        <w:left w:val="none" w:sz="0" w:space="0" w:color="auto"/>
        <w:bottom w:val="none" w:sz="0" w:space="0" w:color="auto"/>
        <w:right w:val="none" w:sz="0" w:space="0" w:color="auto"/>
      </w:divBdr>
    </w:div>
    <w:div w:id="1300652577">
      <w:bodyDiv w:val="1"/>
      <w:marLeft w:val="0"/>
      <w:marRight w:val="0"/>
      <w:marTop w:val="0"/>
      <w:marBottom w:val="0"/>
      <w:divBdr>
        <w:top w:val="none" w:sz="0" w:space="0" w:color="auto"/>
        <w:left w:val="none" w:sz="0" w:space="0" w:color="auto"/>
        <w:bottom w:val="none" w:sz="0" w:space="0" w:color="auto"/>
        <w:right w:val="none" w:sz="0" w:space="0" w:color="auto"/>
      </w:divBdr>
    </w:div>
    <w:div w:id="1316494558">
      <w:bodyDiv w:val="1"/>
      <w:marLeft w:val="0"/>
      <w:marRight w:val="0"/>
      <w:marTop w:val="0"/>
      <w:marBottom w:val="0"/>
      <w:divBdr>
        <w:top w:val="none" w:sz="0" w:space="0" w:color="auto"/>
        <w:left w:val="none" w:sz="0" w:space="0" w:color="auto"/>
        <w:bottom w:val="none" w:sz="0" w:space="0" w:color="auto"/>
        <w:right w:val="none" w:sz="0" w:space="0" w:color="auto"/>
      </w:divBdr>
    </w:div>
    <w:div w:id="1363435288">
      <w:bodyDiv w:val="1"/>
      <w:marLeft w:val="0"/>
      <w:marRight w:val="0"/>
      <w:marTop w:val="0"/>
      <w:marBottom w:val="0"/>
      <w:divBdr>
        <w:top w:val="none" w:sz="0" w:space="0" w:color="auto"/>
        <w:left w:val="none" w:sz="0" w:space="0" w:color="auto"/>
        <w:bottom w:val="none" w:sz="0" w:space="0" w:color="auto"/>
        <w:right w:val="none" w:sz="0" w:space="0" w:color="auto"/>
      </w:divBdr>
    </w:div>
    <w:div w:id="1363633728">
      <w:bodyDiv w:val="1"/>
      <w:marLeft w:val="0"/>
      <w:marRight w:val="0"/>
      <w:marTop w:val="0"/>
      <w:marBottom w:val="0"/>
      <w:divBdr>
        <w:top w:val="none" w:sz="0" w:space="0" w:color="auto"/>
        <w:left w:val="none" w:sz="0" w:space="0" w:color="auto"/>
        <w:bottom w:val="none" w:sz="0" w:space="0" w:color="auto"/>
        <w:right w:val="none" w:sz="0" w:space="0" w:color="auto"/>
      </w:divBdr>
    </w:div>
    <w:div w:id="1387266200">
      <w:bodyDiv w:val="1"/>
      <w:marLeft w:val="0"/>
      <w:marRight w:val="0"/>
      <w:marTop w:val="0"/>
      <w:marBottom w:val="0"/>
      <w:divBdr>
        <w:top w:val="none" w:sz="0" w:space="0" w:color="auto"/>
        <w:left w:val="none" w:sz="0" w:space="0" w:color="auto"/>
        <w:bottom w:val="none" w:sz="0" w:space="0" w:color="auto"/>
        <w:right w:val="none" w:sz="0" w:space="0" w:color="auto"/>
      </w:divBdr>
    </w:div>
    <w:div w:id="1387333027">
      <w:bodyDiv w:val="1"/>
      <w:marLeft w:val="0"/>
      <w:marRight w:val="0"/>
      <w:marTop w:val="0"/>
      <w:marBottom w:val="0"/>
      <w:divBdr>
        <w:top w:val="none" w:sz="0" w:space="0" w:color="auto"/>
        <w:left w:val="none" w:sz="0" w:space="0" w:color="auto"/>
        <w:bottom w:val="none" w:sz="0" w:space="0" w:color="auto"/>
        <w:right w:val="none" w:sz="0" w:space="0" w:color="auto"/>
      </w:divBdr>
    </w:div>
    <w:div w:id="1408768038">
      <w:bodyDiv w:val="1"/>
      <w:marLeft w:val="0"/>
      <w:marRight w:val="0"/>
      <w:marTop w:val="0"/>
      <w:marBottom w:val="0"/>
      <w:divBdr>
        <w:top w:val="none" w:sz="0" w:space="0" w:color="auto"/>
        <w:left w:val="none" w:sz="0" w:space="0" w:color="auto"/>
        <w:bottom w:val="none" w:sz="0" w:space="0" w:color="auto"/>
        <w:right w:val="none" w:sz="0" w:space="0" w:color="auto"/>
      </w:divBdr>
    </w:div>
    <w:div w:id="1420444530">
      <w:bodyDiv w:val="1"/>
      <w:marLeft w:val="0"/>
      <w:marRight w:val="0"/>
      <w:marTop w:val="0"/>
      <w:marBottom w:val="0"/>
      <w:divBdr>
        <w:top w:val="none" w:sz="0" w:space="0" w:color="auto"/>
        <w:left w:val="none" w:sz="0" w:space="0" w:color="auto"/>
        <w:bottom w:val="none" w:sz="0" w:space="0" w:color="auto"/>
        <w:right w:val="none" w:sz="0" w:space="0" w:color="auto"/>
      </w:divBdr>
    </w:div>
    <w:div w:id="1423841338">
      <w:bodyDiv w:val="1"/>
      <w:marLeft w:val="0"/>
      <w:marRight w:val="0"/>
      <w:marTop w:val="0"/>
      <w:marBottom w:val="0"/>
      <w:divBdr>
        <w:top w:val="none" w:sz="0" w:space="0" w:color="auto"/>
        <w:left w:val="none" w:sz="0" w:space="0" w:color="auto"/>
        <w:bottom w:val="none" w:sz="0" w:space="0" w:color="auto"/>
        <w:right w:val="none" w:sz="0" w:space="0" w:color="auto"/>
      </w:divBdr>
    </w:div>
    <w:div w:id="1424688354">
      <w:bodyDiv w:val="1"/>
      <w:marLeft w:val="0"/>
      <w:marRight w:val="0"/>
      <w:marTop w:val="0"/>
      <w:marBottom w:val="0"/>
      <w:divBdr>
        <w:top w:val="none" w:sz="0" w:space="0" w:color="auto"/>
        <w:left w:val="none" w:sz="0" w:space="0" w:color="auto"/>
        <w:bottom w:val="none" w:sz="0" w:space="0" w:color="auto"/>
        <w:right w:val="none" w:sz="0" w:space="0" w:color="auto"/>
      </w:divBdr>
    </w:div>
    <w:div w:id="1429883905">
      <w:bodyDiv w:val="1"/>
      <w:marLeft w:val="0"/>
      <w:marRight w:val="0"/>
      <w:marTop w:val="0"/>
      <w:marBottom w:val="0"/>
      <w:divBdr>
        <w:top w:val="none" w:sz="0" w:space="0" w:color="auto"/>
        <w:left w:val="none" w:sz="0" w:space="0" w:color="auto"/>
        <w:bottom w:val="none" w:sz="0" w:space="0" w:color="auto"/>
        <w:right w:val="none" w:sz="0" w:space="0" w:color="auto"/>
      </w:divBdr>
    </w:div>
    <w:div w:id="1435902405">
      <w:bodyDiv w:val="1"/>
      <w:marLeft w:val="0"/>
      <w:marRight w:val="0"/>
      <w:marTop w:val="0"/>
      <w:marBottom w:val="0"/>
      <w:divBdr>
        <w:top w:val="none" w:sz="0" w:space="0" w:color="auto"/>
        <w:left w:val="none" w:sz="0" w:space="0" w:color="auto"/>
        <w:bottom w:val="none" w:sz="0" w:space="0" w:color="auto"/>
        <w:right w:val="none" w:sz="0" w:space="0" w:color="auto"/>
      </w:divBdr>
    </w:div>
    <w:div w:id="1453985363">
      <w:bodyDiv w:val="1"/>
      <w:marLeft w:val="0"/>
      <w:marRight w:val="0"/>
      <w:marTop w:val="0"/>
      <w:marBottom w:val="0"/>
      <w:divBdr>
        <w:top w:val="none" w:sz="0" w:space="0" w:color="auto"/>
        <w:left w:val="none" w:sz="0" w:space="0" w:color="auto"/>
        <w:bottom w:val="none" w:sz="0" w:space="0" w:color="auto"/>
        <w:right w:val="none" w:sz="0" w:space="0" w:color="auto"/>
      </w:divBdr>
    </w:div>
    <w:div w:id="1464691789">
      <w:bodyDiv w:val="1"/>
      <w:marLeft w:val="0"/>
      <w:marRight w:val="0"/>
      <w:marTop w:val="0"/>
      <w:marBottom w:val="0"/>
      <w:divBdr>
        <w:top w:val="none" w:sz="0" w:space="0" w:color="auto"/>
        <w:left w:val="none" w:sz="0" w:space="0" w:color="auto"/>
        <w:bottom w:val="none" w:sz="0" w:space="0" w:color="auto"/>
        <w:right w:val="none" w:sz="0" w:space="0" w:color="auto"/>
      </w:divBdr>
    </w:div>
    <w:div w:id="1479306058">
      <w:bodyDiv w:val="1"/>
      <w:marLeft w:val="0"/>
      <w:marRight w:val="0"/>
      <w:marTop w:val="0"/>
      <w:marBottom w:val="0"/>
      <w:divBdr>
        <w:top w:val="none" w:sz="0" w:space="0" w:color="auto"/>
        <w:left w:val="none" w:sz="0" w:space="0" w:color="auto"/>
        <w:bottom w:val="none" w:sz="0" w:space="0" w:color="auto"/>
        <w:right w:val="none" w:sz="0" w:space="0" w:color="auto"/>
      </w:divBdr>
    </w:div>
    <w:div w:id="1525555465">
      <w:bodyDiv w:val="1"/>
      <w:marLeft w:val="0"/>
      <w:marRight w:val="0"/>
      <w:marTop w:val="0"/>
      <w:marBottom w:val="0"/>
      <w:divBdr>
        <w:top w:val="none" w:sz="0" w:space="0" w:color="auto"/>
        <w:left w:val="none" w:sz="0" w:space="0" w:color="auto"/>
        <w:bottom w:val="none" w:sz="0" w:space="0" w:color="auto"/>
        <w:right w:val="none" w:sz="0" w:space="0" w:color="auto"/>
      </w:divBdr>
    </w:div>
    <w:div w:id="1542790117">
      <w:bodyDiv w:val="1"/>
      <w:marLeft w:val="0"/>
      <w:marRight w:val="0"/>
      <w:marTop w:val="0"/>
      <w:marBottom w:val="0"/>
      <w:divBdr>
        <w:top w:val="none" w:sz="0" w:space="0" w:color="auto"/>
        <w:left w:val="none" w:sz="0" w:space="0" w:color="auto"/>
        <w:bottom w:val="none" w:sz="0" w:space="0" w:color="auto"/>
        <w:right w:val="none" w:sz="0" w:space="0" w:color="auto"/>
      </w:divBdr>
    </w:div>
    <w:div w:id="1594822678">
      <w:bodyDiv w:val="1"/>
      <w:marLeft w:val="0"/>
      <w:marRight w:val="0"/>
      <w:marTop w:val="0"/>
      <w:marBottom w:val="0"/>
      <w:divBdr>
        <w:top w:val="none" w:sz="0" w:space="0" w:color="auto"/>
        <w:left w:val="none" w:sz="0" w:space="0" w:color="auto"/>
        <w:bottom w:val="none" w:sz="0" w:space="0" w:color="auto"/>
        <w:right w:val="none" w:sz="0" w:space="0" w:color="auto"/>
      </w:divBdr>
    </w:div>
    <w:div w:id="1622759841">
      <w:bodyDiv w:val="1"/>
      <w:marLeft w:val="0"/>
      <w:marRight w:val="0"/>
      <w:marTop w:val="0"/>
      <w:marBottom w:val="0"/>
      <w:divBdr>
        <w:top w:val="none" w:sz="0" w:space="0" w:color="auto"/>
        <w:left w:val="none" w:sz="0" w:space="0" w:color="auto"/>
        <w:bottom w:val="none" w:sz="0" w:space="0" w:color="auto"/>
        <w:right w:val="none" w:sz="0" w:space="0" w:color="auto"/>
      </w:divBdr>
    </w:div>
    <w:div w:id="1702239497">
      <w:bodyDiv w:val="1"/>
      <w:marLeft w:val="0"/>
      <w:marRight w:val="0"/>
      <w:marTop w:val="0"/>
      <w:marBottom w:val="0"/>
      <w:divBdr>
        <w:top w:val="none" w:sz="0" w:space="0" w:color="auto"/>
        <w:left w:val="none" w:sz="0" w:space="0" w:color="auto"/>
        <w:bottom w:val="none" w:sz="0" w:space="0" w:color="auto"/>
        <w:right w:val="none" w:sz="0" w:space="0" w:color="auto"/>
      </w:divBdr>
    </w:div>
    <w:div w:id="1709838439">
      <w:bodyDiv w:val="1"/>
      <w:marLeft w:val="0"/>
      <w:marRight w:val="0"/>
      <w:marTop w:val="0"/>
      <w:marBottom w:val="0"/>
      <w:divBdr>
        <w:top w:val="none" w:sz="0" w:space="0" w:color="auto"/>
        <w:left w:val="none" w:sz="0" w:space="0" w:color="auto"/>
        <w:bottom w:val="none" w:sz="0" w:space="0" w:color="auto"/>
        <w:right w:val="none" w:sz="0" w:space="0" w:color="auto"/>
      </w:divBdr>
    </w:div>
    <w:div w:id="1761484990">
      <w:bodyDiv w:val="1"/>
      <w:marLeft w:val="0"/>
      <w:marRight w:val="0"/>
      <w:marTop w:val="0"/>
      <w:marBottom w:val="0"/>
      <w:divBdr>
        <w:top w:val="none" w:sz="0" w:space="0" w:color="auto"/>
        <w:left w:val="none" w:sz="0" w:space="0" w:color="auto"/>
        <w:bottom w:val="none" w:sz="0" w:space="0" w:color="auto"/>
        <w:right w:val="none" w:sz="0" w:space="0" w:color="auto"/>
      </w:divBdr>
    </w:div>
    <w:div w:id="1793404993">
      <w:bodyDiv w:val="1"/>
      <w:marLeft w:val="0"/>
      <w:marRight w:val="0"/>
      <w:marTop w:val="0"/>
      <w:marBottom w:val="0"/>
      <w:divBdr>
        <w:top w:val="none" w:sz="0" w:space="0" w:color="auto"/>
        <w:left w:val="none" w:sz="0" w:space="0" w:color="auto"/>
        <w:bottom w:val="none" w:sz="0" w:space="0" w:color="auto"/>
        <w:right w:val="none" w:sz="0" w:space="0" w:color="auto"/>
      </w:divBdr>
    </w:div>
    <w:div w:id="1857385226">
      <w:bodyDiv w:val="1"/>
      <w:marLeft w:val="0"/>
      <w:marRight w:val="0"/>
      <w:marTop w:val="0"/>
      <w:marBottom w:val="0"/>
      <w:divBdr>
        <w:top w:val="none" w:sz="0" w:space="0" w:color="auto"/>
        <w:left w:val="none" w:sz="0" w:space="0" w:color="auto"/>
        <w:bottom w:val="none" w:sz="0" w:space="0" w:color="auto"/>
        <w:right w:val="none" w:sz="0" w:space="0" w:color="auto"/>
      </w:divBdr>
    </w:div>
    <w:div w:id="1870531466">
      <w:bodyDiv w:val="1"/>
      <w:marLeft w:val="0"/>
      <w:marRight w:val="0"/>
      <w:marTop w:val="0"/>
      <w:marBottom w:val="0"/>
      <w:divBdr>
        <w:top w:val="none" w:sz="0" w:space="0" w:color="auto"/>
        <w:left w:val="none" w:sz="0" w:space="0" w:color="auto"/>
        <w:bottom w:val="none" w:sz="0" w:space="0" w:color="auto"/>
        <w:right w:val="none" w:sz="0" w:space="0" w:color="auto"/>
      </w:divBdr>
    </w:div>
    <w:div w:id="1877228278">
      <w:bodyDiv w:val="1"/>
      <w:marLeft w:val="0"/>
      <w:marRight w:val="0"/>
      <w:marTop w:val="0"/>
      <w:marBottom w:val="0"/>
      <w:divBdr>
        <w:top w:val="none" w:sz="0" w:space="0" w:color="auto"/>
        <w:left w:val="none" w:sz="0" w:space="0" w:color="auto"/>
        <w:bottom w:val="none" w:sz="0" w:space="0" w:color="auto"/>
        <w:right w:val="none" w:sz="0" w:space="0" w:color="auto"/>
      </w:divBdr>
    </w:div>
    <w:div w:id="1887835172">
      <w:bodyDiv w:val="1"/>
      <w:marLeft w:val="0"/>
      <w:marRight w:val="0"/>
      <w:marTop w:val="0"/>
      <w:marBottom w:val="0"/>
      <w:divBdr>
        <w:top w:val="none" w:sz="0" w:space="0" w:color="auto"/>
        <w:left w:val="none" w:sz="0" w:space="0" w:color="auto"/>
        <w:bottom w:val="none" w:sz="0" w:space="0" w:color="auto"/>
        <w:right w:val="none" w:sz="0" w:space="0" w:color="auto"/>
      </w:divBdr>
    </w:div>
    <w:div w:id="1925409637">
      <w:bodyDiv w:val="1"/>
      <w:marLeft w:val="0"/>
      <w:marRight w:val="0"/>
      <w:marTop w:val="0"/>
      <w:marBottom w:val="0"/>
      <w:divBdr>
        <w:top w:val="none" w:sz="0" w:space="0" w:color="auto"/>
        <w:left w:val="none" w:sz="0" w:space="0" w:color="auto"/>
        <w:bottom w:val="none" w:sz="0" w:space="0" w:color="auto"/>
        <w:right w:val="none" w:sz="0" w:space="0" w:color="auto"/>
      </w:divBdr>
    </w:div>
    <w:div w:id="1966619273">
      <w:bodyDiv w:val="1"/>
      <w:marLeft w:val="0"/>
      <w:marRight w:val="0"/>
      <w:marTop w:val="0"/>
      <w:marBottom w:val="0"/>
      <w:divBdr>
        <w:top w:val="none" w:sz="0" w:space="0" w:color="auto"/>
        <w:left w:val="none" w:sz="0" w:space="0" w:color="auto"/>
        <w:bottom w:val="none" w:sz="0" w:space="0" w:color="auto"/>
        <w:right w:val="none" w:sz="0" w:space="0" w:color="auto"/>
      </w:divBdr>
    </w:div>
    <w:div w:id="1999073781">
      <w:bodyDiv w:val="1"/>
      <w:marLeft w:val="0"/>
      <w:marRight w:val="0"/>
      <w:marTop w:val="0"/>
      <w:marBottom w:val="0"/>
      <w:divBdr>
        <w:top w:val="none" w:sz="0" w:space="0" w:color="auto"/>
        <w:left w:val="none" w:sz="0" w:space="0" w:color="auto"/>
        <w:bottom w:val="none" w:sz="0" w:space="0" w:color="auto"/>
        <w:right w:val="none" w:sz="0" w:space="0" w:color="auto"/>
      </w:divBdr>
    </w:div>
    <w:div w:id="2007903297">
      <w:bodyDiv w:val="1"/>
      <w:marLeft w:val="0"/>
      <w:marRight w:val="0"/>
      <w:marTop w:val="0"/>
      <w:marBottom w:val="0"/>
      <w:divBdr>
        <w:top w:val="none" w:sz="0" w:space="0" w:color="auto"/>
        <w:left w:val="none" w:sz="0" w:space="0" w:color="auto"/>
        <w:bottom w:val="none" w:sz="0" w:space="0" w:color="auto"/>
        <w:right w:val="none" w:sz="0" w:space="0" w:color="auto"/>
      </w:divBdr>
    </w:div>
    <w:div w:id="2033410796">
      <w:bodyDiv w:val="1"/>
      <w:marLeft w:val="0"/>
      <w:marRight w:val="0"/>
      <w:marTop w:val="0"/>
      <w:marBottom w:val="0"/>
      <w:divBdr>
        <w:top w:val="none" w:sz="0" w:space="0" w:color="auto"/>
        <w:left w:val="none" w:sz="0" w:space="0" w:color="auto"/>
        <w:bottom w:val="none" w:sz="0" w:space="0" w:color="auto"/>
        <w:right w:val="none" w:sz="0" w:space="0" w:color="auto"/>
      </w:divBdr>
    </w:div>
    <w:div w:id="2042582189">
      <w:bodyDiv w:val="1"/>
      <w:marLeft w:val="0"/>
      <w:marRight w:val="0"/>
      <w:marTop w:val="0"/>
      <w:marBottom w:val="0"/>
      <w:divBdr>
        <w:top w:val="none" w:sz="0" w:space="0" w:color="auto"/>
        <w:left w:val="none" w:sz="0" w:space="0" w:color="auto"/>
        <w:bottom w:val="none" w:sz="0" w:space="0" w:color="auto"/>
        <w:right w:val="none" w:sz="0" w:space="0" w:color="auto"/>
      </w:divBdr>
    </w:div>
    <w:div w:id="2051765357">
      <w:bodyDiv w:val="1"/>
      <w:marLeft w:val="0"/>
      <w:marRight w:val="0"/>
      <w:marTop w:val="0"/>
      <w:marBottom w:val="0"/>
      <w:divBdr>
        <w:top w:val="none" w:sz="0" w:space="0" w:color="auto"/>
        <w:left w:val="none" w:sz="0" w:space="0" w:color="auto"/>
        <w:bottom w:val="none" w:sz="0" w:space="0" w:color="auto"/>
        <w:right w:val="none" w:sz="0" w:space="0" w:color="auto"/>
      </w:divBdr>
    </w:div>
    <w:div w:id="2076856523">
      <w:bodyDiv w:val="1"/>
      <w:marLeft w:val="0"/>
      <w:marRight w:val="0"/>
      <w:marTop w:val="0"/>
      <w:marBottom w:val="0"/>
      <w:divBdr>
        <w:top w:val="none" w:sz="0" w:space="0" w:color="auto"/>
        <w:left w:val="none" w:sz="0" w:space="0" w:color="auto"/>
        <w:bottom w:val="none" w:sz="0" w:space="0" w:color="auto"/>
        <w:right w:val="none" w:sz="0" w:space="0" w:color="auto"/>
      </w:divBdr>
    </w:div>
    <w:div w:id="2077776280">
      <w:bodyDiv w:val="1"/>
      <w:marLeft w:val="0"/>
      <w:marRight w:val="0"/>
      <w:marTop w:val="0"/>
      <w:marBottom w:val="0"/>
      <w:divBdr>
        <w:top w:val="none" w:sz="0" w:space="0" w:color="auto"/>
        <w:left w:val="none" w:sz="0" w:space="0" w:color="auto"/>
        <w:bottom w:val="none" w:sz="0" w:space="0" w:color="auto"/>
        <w:right w:val="none" w:sz="0" w:space="0" w:color="auto"/>
      </w:divBdr>
    </w:div>
    <w:div w:id="2106069116">
      <w:bodyDiv w:val="1"/>
      <w:marLeft w:val="0"/>
      <w:marRight w:val="0"/>
      <w:marTop w:val="0"/>
      <w:marBottom w:val="0"/>
      <w:divBdr>
        <w:top w:val="none" w:sz="0" w:space="0" w:color="auto"/>
        <w:left w:val="none" w:sz="0" w:space="0" w:color="auto"/>
        <w:bottom w:val="none" w:sz="0" w:space="0" w:color="auto"/>
        <w:right w:val="none" w:sz="0" w:space="0" w:color="auto"/>
      </w:divBdr>
    </w:div>
    <w:div w:id="212284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2.xml"/></Relationships>
</file>

<file path=word/_rels/footnotes.xml.rels><?xml version="1.0" encoding="UTF-8" standalone="yes"?>
<Relationships xmlns="http://schemas.openxmlformats.org/package/2006/relationships"><Relationship Id="rId3" Type="http://schemas.openxmlformats.org/officeDocument/2006/relationships/hyperlink" Target="http://maps.kcmo.org/apps/parcelviewer/" TargetMode="External"/><Relationship Id="rId2" Type="http://schemas.openxmlformats.org/officeDocument/2006/relationships/hyperlink" Target="https://www.stlouis-mo.gov/government/departments/sldc/economic-development/tax-increment-financing.cfm" TargetMode="External"/><Relationship Id="rId1" Type="http://schemas.openxmlformats.org/officeDocument/2006/relationships/hyperlink" Target="http://www.bettertogether.com" TargetMode="External"/><Relationship Id="rId4" Type="http://schemas.openxmlformats.org/officeDocument/2006/relationships/hyperlink" Target="http://www.bettertogetherstl.com/studies/economic-development/tif-databas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R%20El-Khattabi\Dropbox\shared\TIF%20in%20MO\Project%20files\tables\time%20path%20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R%20El-Khattabi\Dropbox\shared\TIF%20in%20MO\Project%20files\tables\time%20path%20graph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Time Path Impacts on Employment: </a:t>
            </a:r>
            <a:endParaRPr lang="en-US" sz="1400">
              <a:effectLst/>
            </a:endParaRPr>
          </a:p>
          <a:p>
            <a:pPr>
              <a:defRPr/>
            </a:pPr>
            <a:r>
              <a:rPr lang="en-US" sz="1400" b="0" i="0" u="none" strike="noStrike" kern="1200" spc="0" baseline="0">
                <a:solidFill>
                  <a:sysClr val="windowText" lastClr="000000">
                    <a:lumMod val="65000"/>
                    <a:lumOff val="35000"/>
                  </a:sysClr>
                </a:solidFill>
                <a:effectLst/>
                <a:latin typeface="+mn-lt"/>
                <a:ea typeface="+mn-ea"/>
                <a:cs typeface="+mn-cs"/>
              </a:rPr>
              <a:t>Saint Louis</a:t>
            </a:r>
            <a:endParaRPr lang="en-US" sz="14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333825851257657"/>
          <c:y val="0.29067873303167419"/>
          <c:w val="0.8362279976903273"/>
          <c:h val="0.60675716440422323"/>
        </c:manualLayout>
      </c:layout>
      <c:lineChart>
        <c:grouping val="standard"/>
        <c:varyColors val="0"/>
        <c:ser>
          <c:idx val="0"/>
          <c:order val="0"/>
          <c:tx>
            <c:strRef>
              <c:f>Sheet1!$B$11</c:f>
              <c:strCache>
                <c:ptCount val="1"/>
                <c:pt idx="0">
                  <c:v>Coef STL</c:v>
                </c:pt>
              </c:strCache>
            </c:strRef>
          </c:tx>
          <c:spPr>
            <a:ln w="28575" cap="rnd">
              <a:solidFill>
                <a:schemeClr val="accent1"/>
              </a:solidFill>
              <a:round/>
            </a:ln>
            <a:effectLst/>
          </c:spPr>
          <c:marker>
            <c:symbol val="none"/>
          </c:marker>
          <c:cat>
            <c:strRef>
              <c:f>Sheet1!$A$12:$A$18</c:f>
              <c:strCache>
                <c:ptCount val="7"/>
                <c:pt idx="0">
                  <c:v>t-3</c:v>
                </c:pt>
                <c:pt idx="1">
                  <c:v>t-2</c:v>
                </c:pt>
                <c:pt idx="2">
                  <c:v>t-2</c:v>
                </c:pt>
                <c:pt idx="3">
                  <c:v>t</c:v>
                </c:pt>
                <c:pt idx="4">
                  <c:v>t+1</c:v>
                </c:pt>
                <c:pt idx="5">
                  <c:v>t+2</c:v>
                </c:pt>
                <c:pt idx="6">
                  <c:v>t+3</c:v>
                </c:pt>
              </c:strCache>
            </c:strRef>
          </c:cat>
          <c:val>
            <c:numRef>
              <c:f>Sheet1!$B$12:$B$18</c:f>
              <c:numCache>
                <c:formatCode>General</c:formatCode>
                <c:ptCount val="7"/>
                <c:pt idx="0">
                  <c:v>-3.8460000000000001E-2</c:v>
                </c:pt>
                <c:pt idx="1">
                  <c:v>-8.8999999999999999E-3</c:v>
                </c:pt>
                <c:pt idx="2">
                  <c:v>2.1199999999999999E-3</c:v>
                </c:pt>
                <c:pt idx="3">
                  <c:v>1.443E-2</c:v>
                </c:pt>
                <c:pt idx="4">
                  <c:v>-5.0040000000000001E-2</c:v>
                </c:pt>
                <c:pt idx="5">
                  <c:v>-1.8149999999999999E-2</c:v>
                </c:pt>
                <c:pt idx="6">
                  <c:v>8.2290000000000002E-2</c:v>
                </c:pt>
              </c:numCache>
            </c:numRef>
          </c:val>
          <c:smooth val="0"/>
          <c:extLst>
            <c:ext xmlns:c16="http://schemas.microsoft.com/office/drawing/2014/chart" uri="{C3380CC4-5D6E-409C-BE32-E72D297353CC}">
              <c16:uniqueId val="{00000000-7C55-4C57-BDD7-E370C4E120B7}"/>
            </c:ext>
          </c:extLst>
        </c:ser>
        <c:ser>
          <c:idx val="1"/>
          <c:order val="1"/>
          <c:tx>
            <c:strRef>
              <c:f>Sheet1!$C$11</c:f>
              <c:strCache>
                <c:ptCount val="1"/>
                <c:pt idx="0">
                  <c:v>LB</c:v>
                </c:pt>
              </c:strCache>
            </c:strRef>
          </c:tx>
          <c:spPr>
            <a:ln w="28575" cap="rnd">
              <a:solidFill>
                <a:schemeClr val="bg2">
                  <a:lumMod val="90000"/>
                </a:schemeClr>
              </a:solidFill>
              <a:prstDash val="dashDot"/>
              <a:round/>
            </a:ln>
            <a:effectLst/>
          </c:spPr>
          <c:marker>
            <c:symbol val="none"/>
          </c:marker>
          <c:cat>
            <c:strRef>
              <c:f>Sheet1!$A$12:$A$18</c:f>
              <c:strCache>
                <c:ptCount val="7"/>
                <c:pt idx="0">
                  <c:v>t-3</c:v>
                </c:pt>
                <c:pt idx="1">
                  <c:v>t-2</c:v>
                </c:pt>
                <c:pt idx="2">
                  <c:v>t-2</c:v>
                </c:pt>
                <c:pt idx="3">
                  <c:v>t</c:v>
                </c:pt>
                <c:pt idx="4">
                  <c:v>t+1</c:v>
                </c:pt>
                <c:pt idx="5">
                  <c:v>t+2</c:v>
                </c:pt>
                <c:pt idx="6">
                  <c:v>t+3</c:v>
                </c:pt>
              </c:strCache>
            </c:strRef>
          </c:cat>
          <c:val>
            <c:numRef>
              <c:f>Sheet1!$C$12:$C$18</c:f>
              <c:numCache>
                <c:formatCode>General</c:formatCode>
                <c:ptCount val="7"/>
                <c:pt idx="0">
                  <c:v>-6.6750000000000004E-2</c:v>
                </c:pt>
                <c:pt idx="1">
                  <c:v>-4.2029999999999998E-2</c:v>
                </c:pt>
                <c:pt idx="2">
                  <c:v>-3.117E-2</c:v>
                </c:pt>
                <c:pt idx="3">
                  <c:v>-1.9220000000000001E-2</c:v>
                </c:pt>
                <c:pt idx="4">
                  <c:v>-8.3879999999999996E-2</c:v>
                </c:pt>
                <c:pt idx="5">
                  <c:v>-5.2339999999999998E-2</c:v>
                </c:pt>
                <c:pt idx="6">
                  <c:v>5.289E-2</c:v>
                </c:pt>
              </c:numCache>
            </c:numRef>
          </c:val>
          <c:smooth val="0"/>
          <c:extLst>
            <c:ext xmlns:c16="http://schemas.microsoft.com/office/drawing/2014/chart" uri="{C3380CC4-5D6E-409C-BE32-E72D297353CC}">
              <c16:uniqueId val="{00000001-7C55-4C57-BDD7-E370C4E120B7}"/>
            </c:ext>
          </c:extLst>
        </c:ser>
        <c:ser>
          <c:idx val="2"/>
          <c:order val="2"/>
          <c:tx>
            <c:strRef>
              <c:f>Sheet1!$D$11</c:f>
              <c:strCache>
                <c:ptCount val="1"/>
                <c:pt idx="0">
                  <c:v>UB</c:v>
                </c:pt>
              </c:strCache>
            </c:strRef>
          </c:tx>
          <c:spPr>
            <a:ln w="28575" cap="rnd">
              <a:solidFill>
                <a:schemeClr val="bg2">
                  <a:lumMod val="90000"/>
                </a:schemeClr>
              </a:solidFill>
              <a:prstDash val="dashDot"/>
              <a:round/>
            </a:ln>
            <a:effectLst/>
          </c:spPr>
          <c:marker>
            <c:symbol val="none"/>
          </c:marker>
          <c:cat>
            <c:strRef>
              <c:f>Sheet1!$A$12:$A$18</c:f>
              <c:strCache>
                <c:ptCount val="7"/>
                <c:pt idx="0">
                  <c:v>t-3</c:v>
                </c:pt>
                <c:pt idx="1">
                  <c:v>t-2</c:v>
                </c:pt>
                <c:pt idx="2">
                  <c:v>t-2</c:v>
                </c:pt>
                <c:pt idx="3">
                  <c:v>t</c:v>
                </c:pt>
                <c:pt idx="4">
                  <c:v>t+1</c:v>
                </c:pt>
                <c:pt idx="5">
                  <c:v>t+2</c:v>
                </c:pt>
                <c:pt idx="6">
                  <c:v>t+3</c:v>
                </c:pt>
              </c:strCache>
            </c:strRef>
          </c:cat>
          <c:val>
            <c:numRef>
              <c:f>Sheet1!$D$12:$D$18</c:f>
              <c:numCache>
                <c:formatCode>General</c:formatCode>
                <c:ptCount val="7"/>
                <c:pt idx="0">
                  <c:v>-1.0160000000000001E-2</c:v>
                </c:pt>
                <c:pt idx="1">
                  <c:v>2.4240000000000001E-2</c:v>
                </c:pt>
                <c:pt idx="2">
                  <c:v>3.542E-2</c:v>
                </c:pt>
                <c:pt idx="3">
                  <c:v>4.8079999999999998E-2</c:v>
                </c:pt>
                <c:pt idx="4">
                  <c:v>-1.6199999999999999E-2</c:v>
                </c:pt>
                <c:pt idx="5">
                  <c:v>1.6039999999999999E-2</c:v>
                </c:pt>
                <c:pt idx="6">
                  <c:v>0.11169</c:v>
                </c:pt>
              </c:numCache>
            </c:numRef>
          </c:val>
          <c:smooth val="0"/>
          <c:extLst>
            <c:ext xmlns:c16="http://schemas.microsoft.com/office/drawing/2014/chart" uri="{C3380CC4-5D6E-409C-BE32-E72D297353CC}">
              <c16:uniqueId val="{00000002-7C55-4C57-BDD7-E370C4E120B7}"/>
            </c:ext>
          </c:extLst>
        </c:ser>
        <c:dLbls>
          <c:showLegendKey val="0"/>
          <c:showVal val="0"/>
          <c:showCatName val="0"/>
          <c:showSerName val="0"/>
          <c:showPercent val="0"/>
          <c:showBubbleSize val="0"/>
        </c:dLbls>
        <c:smooth val="0"/>
        <c:axId val="425027624"/>
        <c:axId val="425031232"/>
      </c:lineChart>
      <c:catAx>
        <c:axId val="425027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5031232"/>
        <c:crosses val="autoZero"/>
        <c:auto val="1"/>
        <c:lblAlgn val="ctr"/>
        <c:lblOffset val="100"/>
        <c:noMultiLvlLbl val="0"/>
      </c:catAx>
      <c:valAx>
        <c:axId val="425031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50276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Time Path Impacts on Employment:</a:t>
            </a:r>
            <a:r>
              <a:rPr lang="en-US" baseline="0"/>
              <a:t> </a:t>
            </a:r>
          </a:p>
          <a:p>
            <a:pPr>
              <a:defRPr/>
            </a:pPr>
            <a:r>
              <a:rPr lang="en-US" baseline="0"/>
              <a:t>Kansas City</a:t>
            </a:r>
            <a:endParaRPr lang="en-US"/>
          </a:p>
        </c:rich>
      </c:tx>
      <c:layout>
        <c:manualLayout>
          <c:xMode val="edge"/>
          <c:yMode val="edge"/>
          <c:x val="0.12963725431267656"/>
          <c:y val="3.390336544838479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Sheet1!$B$2</c:f>
              <c:strCache>
                <c:ptCount val="1"/>
                <c:pt idx="0">
                  <c:v>Coef KC</c:v>
                </c:pt>
              </c:strCache>
            </c:strRef>
          </c:tx>
          <c:spPr>
            <a:ln w="28575" cap="rnd">
              <a:solidFill>
                <a:schemeClr val="accent1"/>
              </a:solidFill>
              <a:round/>
            </a:ln>
            <a:effectLst/>
          </c:spPr>
          <c:marker>
            <c:symbol val="none"/>
          </c:marker>
          <c:cat>
            <c:strRef>
              <c:f>Sheet1!$A$3:$A$9</c:f>
              <c:strCache>
                <c:ptCount val="7"/>
                <c:pt idx="0">
                  <c:v>t-3</c:v>
                </c:pt>
                <c:pt idx="1">
                  <c:v>t-2</c:v>
                </c:pt>
                <c:pt idx="2">
                  <c:v>t-2</c:v>
                </c:pt>
                <c:pt idx="3">
                  <c:v>t</c:v>
                </c:pt>
                <c:pt idx="4">
                  <c:v>t+1</c:v>
                </c:pt>
                <c:pt idx="5">
                  <c:v>t+2</c:v>
                </c:pt>
                <c:pt idx="6">
                  <c:v>t+3</c:v>
                </c:pt>
              </c:strCache>
            </c:strRef>
          </c:cat>
          <c:val>
            <c:numRef>
              <c:f>Sheet1!$B$3:$B$9</c:f>
              <c:numCache>
                <c:formatCode>General</c:formatCode>
                <c:ptCount val="7"/>
                <c:pt idx="0">
                  <c:v>6.7499999999999999E-3</c:v>
                </c:pt>
                <c:pt idx="1">
                  <c:v>2.4479999999999998E-2</c:v>
                </c:pt>
                <c:pt idx="2">
                  <c:v>-3.5020000000000003E-2</c:v>
                </c:pt>
                <c:pt idx="3">
                  <c:v>-2.426E-2</c:v>
                </c:pt>
                <c:pt idx="4">
                  <c:v>-1.4300000000000001E-3</c:v>
                </c:pt>
                <c:pt idx="5">
                  <c:v>4.3800000000000002E-3</c:v>
                </c:pt>
                <c:pt idx="6">
                  <c:v>-1.6029999999999999E-2</c:v>
                </c:pt>
              </c:numCache>
            </c:numRef>
          </c:val>
          <c:smooth val="0"/>
          <c:extLst>
            <c:ext xmlns:c16="http://schemas.microsoft.com/office/drawing/2014/chart" uri="{C3380CC4-5D6E-409C-BE32-E72D297353CC}">
              <c16:uniqueId val="{00000000-2D5F-48DC-8563-29952C2B2BD6}"/>
            </c:ext>
          </c:extLst>
        </c:ser>
        <c:ser>
          <c:idx val="1"/>
          <c:order val="1"/>
          <c:tx>
            <c:strRef>
              <c:f>Sheet1!$C$2</c:f>
              <c:strCache>
                <c:ptCount val="1"/>
                <c:pt idx="0">
                  <c:v>LB</c:v>
                </c:pt>
              </c:strCache>
            </c:strRef>
          </c:tx>
          <c:spPr>
            <a:ln w="28575" cap="rnd">
              <a:solidFill>
                <a:schemeClr val="bg2">
                  <a:lumMod val="90000"/>
                </a:schemeClr>
              </a:solidFill>
              <a:prstDash val="dashDot"/>
              <a:round/>
            </a:ln>
            <a:effectLst/>
          </c:spPr>
          <c:marker>
            <c:symbol val="none"/>
          </c:marker>
          <c:cat>
            <c:strRef>
              <c:f>Sheet1!$A$3:$A$9</c:f>
              <c:strCache>
                <c:ptCount val="7"/>
                <c:pt idx="0">
                  <c:v>t-3</c:v>
                </c:pt>
                <c:pt idx="1">
                  <c:v>t-2</c:v>
                </c:pt>
                <c:pt idx="2">
                  <c:v>t-2</c:v>
                </c:pt>
                <c:pt idx="3">
                  <c:v>t</c:v>
                </c:pt>
                <c:pt idx="4">
                  <c:v>t+1</c:v>
                </c:pt>
                <c:pt idx="5">
                  <c:v>t+2</c:v>
                </c:pt>
                <c:pt idx="6">
                  <c:v>t+3</c:v>
                </c:pt>
              </c:strCache>
            </c:strRef>
          </c:cat>
          <c:val>
            <c:numRef>
              <c:f>Sheet1!$C$3:$C$9</c:f>
              <c:numCache>
                <c:formatCode>General</c:formatCode>
                <c:ptCount val="7"/>
                <c:pt idx="0">
                  <c:v>-3.39E-2</c:v>
                </c:pt>
                <c:pt idx="1">
                  <c:v>-2.4170000000000001E-2</c:v>
                </c:pt>
                <c:pt idx="2">
                  <c:v>-8.1490000000000007E-2</c:v>
                </c:pt>
                <c:pt idx="3">
                  <c:v>-6.8769999999999998E-2</c:v>
                </c:pt>
                <c:pt idx="4">
                  <c:v>-4.5519999999999998E-2</c:v>
                </c:pt>
                <c:pt idx="5">
                  <c:v>-3.986E-2</c:v>
                </c:pt>
                <c:pt idx="6">
                  <c:v>-5.3310000000000003E-2</c:v>
                </c:pt>
              </c:numCache>
            </c:numRef>
          </c:val>
          <c:smooth val="0"/>
          <c:extLst>
            <c:ext xmlns:c16="http://schemas.microsoft.com/office/drawing/2014/chart" uri="{C3380CC4-5D6E-409C-BE32-E72D297353CC}">
              <c16:uniqueId val="{00000001-2D5F-48DC-8563-29952C2B2BD6}"/>
            </c:ext>
          </c:extLst>
        </c:ser>
        <c:ser>
          <c:idx val="2"/>
          <c:order val="2"/>
          <c:tx>
            <c:strRef>
              <c:f>Sheet1!$D$2</c:f>
              <c:strCache>
                <c:ptCount val="1"/>
                <c:pt idx="0">
                  <c:v>UB</c:v>
                </c:pt>
              </c:strCache>
            </c:strRef>
          </c:tx>
          <c:spPr>
            <a:ln w="28575" cap="rnd">
              <a:solidFill>
                <a:schemeClr val="bg2">
                  <a:lumMod val="90000"/>
                </a:schemeClr>
              </a:solidFill>
              <a:prstDash val="dashDot"/>
              <a:round/>
            </a:ln>
            <a:effectLst/>
          </c:spPr>
          <c:marker>
            <c:symbol val="none"/>
          </c:marker>
          <c:cat>
            <c:strRef>
              <c:f>Sheet1!$A$3:$A$9</c:f>
              <c:strCache>
                <c:ptCount val="7"/>
                <c:pt idx="0">
                  <c:v>t-3</c:v>
                </c:pt>
                <c:pt idx="1">
                  <c:v>t-2</c:v>
                </c:pt>
                <c:pt idx="2">
                  <c:v>t-2</c:v>
                </c:pt>
                <c:pt idx="3">
                  <c:v>t</c:v>
                </c:pt>
                <c:pt idx="4">
                  <c:v>t+1</c:v>
                </c:pt>
                <c:pt idx="5">
                  <c:v>t+2</c:v>
                </c:pt>
                <c:pt idx="6">
                  <c:v>t+3</c:v>
                </c:pt>
              </c:strCache>
            </c:strRef>
          </c:cat>
          <c:val>
            <c:numRef>
              <c:f>Sheet1!$D$3:$D$9</c:f>
              <c:numCache>
                <c:formatCode>General</c:formatCode>
                <c:ptCount val="7"/>
                <c:pt idx="0">
                  <c:v>4.7399999999999998E-2</c:v>
                </c:pt>
                <c:pt idx="1">
                  <c:v>7.3130000000000001E-2</c:v>
                </c:pt>
                <c:pt idx="2">
                  <c:v>1.145E-2</c:v>
                </c:pt>
                <c:pt idx="3">
                  <c:v>2.0250000000000001E-2</c:v>
                </c:pt>
                <c:pt idx="4">
                  <c:v>4.2659999999999997E-2</c:v>
                </c:pt>
                <c:pt idx="5">
                  <c:v>4.8619999999999997E-2</c:v>
                </c:pt>
                <c:pt idx="6">
                  <c:v>2.1239999999999998E-2</c:v>
                </c:pt>
              </c:numCache>
            </c:numRef>
          </c:val>
          <c:smooth val="0"/>
          <c:extLst>
            <c:ext xmlns:c16="http://schemas.microsoft.com/office/drawing/2014/chart" uri="{C3380CC4-5D6E-409C-BE32-E72D297353CC}">
              <c16:uniqueId val="{00000002-2D5F-48DC-8563-29952C2B2BD6}"/>
            </c:ext>
          </c:extLst>
        </c:ser>
        <c:dLbls>
          <c:showLegendKey val="0"/>
          <c:showVal val="0"/>
          <c:showCatName val="0"/>
          <c:showSerName val="0"/>
          <c:showPercent val="0"/>
          <c:showBubbleSize val="0"/>
        </c:dLbls>
        <c:smooth val="0"/>
        <c:axId val="422071024"/>
        <c:axId val="422065776"/>
      </c:lineChart>
      <c:catAx>
        <c:axId val="422071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2065776"/>
        <c:crosses val="autoZero"/>
        <c:auto val="1"/>
        <c:lblAlgn val="ctr"/>
        <c:lblOffset val="100"/>
        <c:noMultiLvlLbl val="0"/>
      </c:catAx>
      <c:valAx>
        <c:axId val="422065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2071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Gib03</b:Tag>
    <b:SourceType>JournalArticle</b:SourceType>
    <b:Guid>{896C6CF1-2E63-40FB-BC61-EF370C45271E}</b:Guid>
    <b:Author>
      <b:Author>
        <b:NameList>
          <b:Person>
            <b:Last>Gibson</b:Last>
          </b:Person>
        </b:NameList>
      </b:Author>
    </b:Author>
    <b:Title>Neighborhood characteristics of Tax Increment Financing in Chicago</b:Title>
    <b:JournalName>Journal of Urban Economics</b:JournalName>
    <b:Year>2003</b:Year>
    <b:Pages>309–327</b:Pages>
    <b:RefOrder>1</b:RefOrder>
  </b:Source>
  <b:Source>
    <b:Tag>Les14</b:Tag>
    <b:SourceType>JournalArticle</b:SourceType>
    <b:Guid>{EF9AAD2C-C59D-436C-943A-78954E67D621}</b:Guid>
    <b:Author>
      <b:Author>
        <b:NameList>
          <b:Person>
            <b:Last>Lester</b:Last>
            <b:First>T.</b:First>
            <b:Middle>W.</b:Middle>
          </b:Person>
        </b:NameList>
      </b:Author>
    </b:Author>
    <b:Title>Does Chicago’s tax increment financing (TIF) programme pass the ‘but-for’test? Job creation and economic development impacts using time-series data.</b:Title>
    <b:JournalName>Urban Studies</b:JournalName>
    <b:Year>2014</b:Year>
    <b:Pages>655-674</b:Pages>
    <b:RefOrder>2</b:RefOrder>
  </b:Source>
  <b:Source>
    <b:Tag>Les141</b:Tag>
    <b:SourceType>JournalArticle</b:SourceType>
    <b:Guid>{1266779F-EE93-49C9-B577-7C794416E56B}</b:Guid>
    <b:Author>
      <b:Author>
        <b:Corporate>Lester, T.W. &amp; Lowe, N.J. &amp; Freyer, A.</b:Corporate>
      </b:Author>
    </b:Author>
    <b:Title>Mediating incentive use: A time-series assessment of economic development deals in North Carolina</b:Title>
    <b:JournalName>Economic Development Quarterly</b:JournalName>
    <b:Year>2014</b:Year>
    <b:Pages>28(2), pp.132-146.</b:Pages>
    <b:RefOrder>3</b:RefOrder>
  </b:Source>
  <b:Source>
    <b:Tag>Bes04</b:Tag>
    <b:SourceType>JournalArticle</b:SourceType>
    <b:Guid>{0AA446B0-9CFB-4FB1-8B21-5FBA044A7DC1}</b:Guid>
    <b:Author>
      <b:Author>
        <b:Corporate>Beseley, T. &amp; Burgess, R.</b:Corporate>
      </b:Author>
    </b:Author>
    <b:Title>Can labor regulation hinder economic performance? Evidence from India.</b:Title>
    <b:JournalName>The Quarterly Journal of Economics</b:JournalName>
    <b:Year>2004</b:Year>
    <b:Pages>119(1), pp.91-134</b:Pages>
    <b:RefOrder>4</b:RefOrder>
  </b:Source>
  <b:Source>
    <b:Tag>Les11</b:Tag>
    <b:SourceType>JournalArticle</b:SourceType>
    <b:Guid>{A2BECDA9-AC80-43E5-BD2B-A7CFFBB2F444}</b:Guid>
    <b:Author>
      <b:Author>
        <b:NameList>
          <b:Person>
            <b:Last>Lester</b:Last>
            <b:First>TW</b:First>
          </b:Person>
        </b:NameList>
      </b:Author>
    </b:Author>
    <b:Title>The impact of living wage laws on urban economic development patterns and the local business climate: evidence from California cities. </b:Title>
    <b:JournalName>Economic Development Quarterly</b:JournalName>
    <b:Year>2011</b:Year>
    <b:Pages>25(3) pp. 237-254</b:Pages>
    <b:RefOrder>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B19C0A04FE47FA43A68030180DCE05A2" ma:contentTypeVersion="0" ma:contentTypeDescription="Create a new document." ma:contentTypeScope="" ma:versionID="14415716c4428320f00701bf2e56c04d">
  <xsd:schema xmlns:xsd="http://www.w3.org/2001/XMLSchema" xmlns:xs="http://www.w3.org/2001/XMLSchema" xmlns:p="http://schemas.microsoft.com/office/2006/metadata/properties" targetNamespace="http://schemas.microsoft.com/office/2006/metadata/properties" ma:root="true" ma:fieldsID="124fd2d4348e31d7b7bcc391e9da95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0067C-B0DC-4A8D-8205-E1E9CC101293}">
  <ds:schemaRefs>
    <ds:schemaRef ds:uri="http://schemas.openxmlformats.org/officeDocument/2006/bibliography"/>
  </ds:schemaRefs>
</ds:datastoreItem>
</file>

<file path=customXml/itemProps2.xml><?xml version="1.0" encoding="utf-8"?>
<ds:datastoreItem xmlns:ds="http://schemas.openxmlformats.org/officeDocument/2006/customXml" ds:itemID="{4113C123-B953-4117-A3E2-E4CCA3834350}"/>
</file>

<file path=customXml/itemProps3.xml><?xml version="1.0" encoding="utf-8"?>
<ds:datastoreItem xmlns:ds="http://schemas.openxmlformats.org/officeDocument/2006/customXml" ds:itemID="{8F56A904-C91A-4CA4-85B2-2FB564DE877C}"/>
</file>

<file path=customXml/itemProps4.xml><?xml version="1.0" encoding="utf-8"?>
<ds:datastoreItem xmlns:ds="http://schemas.openxmlformats.org/officeDocument/2006/customXml" ds:itemID="{6BEDAE36-FD46-46F0-B0B2-614DA899FF49}"/>
</file>

<file path=docProps/app.xml><?xml version="1.0" encoding="utf-8"?>
<Properties xmlns="http://schemas.openxmlformats.org/officeDocument/2006/extended-properties" xmlns:vt="http://schemas.openxmlformats.org/officeDocument/2006/docPropsVTypes">
  <Template>Normal</Template>
  <TotalTime>1</TotalTime>
  <Pages>33</Pages>
  <Words>11334</Words>
  <Characters>64606</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 El-Khattabi</dc:creator>
  <cp:keywords/>
  <dc:description/>
  <cp:lastModifiedBy>Michael Oden</cp:lastModifiedBy>
  <cp:revision>2</cp:revision>
  <dcterms:created xsi:type="dcterms:W3CDTF">2018-04-11T17:46:00Z</dcterms:created>
  <dcterms:modified xsi:type="dcterms:W3CDTF">2018-04-11T17:46:00Z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id="8jwDq7NL"/&gt;&lt;style id="http://www.zotero.org/styles/chicago-author-date" locale="en-US" hasBibliography="1" bibliographyStyleHasBeenSet="1"/&gt;&lt;prefs&gt;&lt;pref name="fieldType" value="Field"/&gt;&lt;pref n</vt:lpwstr>
  </property>
  <property fmtid="{D5CDD505-2E9C-101B-9397-08002B2CF9AE}" pid="3" name="ZOTERO_PREF_2">
    <vt:lpwstr>ame="storeReferences" value="true"/&gt;&lt;pref name="automaticJournalAbbreviations" value="true"/&gt;&lt;pref name="noteType" value=""/&gt;&lt;/prefs&gt;&lt;/data&gt;</vt:lpwstr>
  </property>
  <property fmtid="{D5CDD505-2E9C-101B-9397-08002B2CF9AE}" pid="4" name="ContentTypeId">
    <vt:lpwstr>0x010100B19C0A04FE47FA43A68030180DCE05A2</vt:lpwstr>
  </property>
</Properties>
</file>