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10" w:type="dxa"/>
        <w:jc w:val="center"/>
        <w:tblLayout w:type="fixed"/>
        <w:tblCellMar>
          <w:top w:w="14" w:type="dxa"/>
          <w:left w:w="86" w:type="dxa"/>
          <w:bottom w:w="14" w:type="dxa"/>
          <w:right w:w="86" w:type="dxa"/>
        </w:tblCellMar>
        <w:tblLook w:val="0000" w:firstRow="0" w:lastRow="0" w:firstColumn="0" w:lastColumn="0" w:noHBand="0" w:noVBand="0"/>
      </w:tblPr>
      <w:tblGrid>
        <w:gridCol w:w="1753"/>
        <w:gridCol w:w="1890"/>
        <w:gridCol w:w="90"/>
        <w:gridCol w:w="2350"/>
        <w:gridCol w:w="931"/>
        <w:gridCol w:w="319"/>
        <w:gridCol w:w="624"/>
        <w:gridCol w:w="1890"/>
        <w:gridCol w:w="1356"/>
        <w:gridCol w:w="7"/>
      </w:tblGrid>
      <w:tr w:rsidR="00E43BAB" w:rsidRPr="00EC37E9" w:rsidTr="003421F9">
        <w:trPr>
          <w:trHeight w:val="526"/>
          <w:jc w:val="center"/>
        </w:trPr>
        <w:tc>
          <w:tcPr>
            <w:tcW w:w="11210" w:type="dxa"/>
            <w:gridSpan w:val="10"/>
            <w:shd w:val="clear" w:color="auto" w:fill="auto"/>
            <w:tcMar>
              <w:left w:w="0" w:type="dxa"/>
            </w:tcMar>
            <w:vAlign w:val="center"/>
          </w:tcPr>
          <w:p w:rsidR="00E43BAB" w:rsidRPr="00F343FB" w:rsidRDefault="00280633" w:rsidP="00BC6F67">
            <w:pPr>
              <w:pStyle w:val="Heading1"/>
              <w:rPr>
                <w:rFonts w:ascii="Times New Roman" w:hAnsi="Times New Roman"/>
                <w:sz w:val="36"/>
              </w:rPr>
            </w:pPr>
            <w:r>
              <w:rPr>
                <w:rFonts w:ascii="Times New Roman" w:hAnsi="Times New Roman"/>
                <w:sz w:val="36"/>
              </w:rPr>
              <w:t xml:space="preserve"> </w:t>
            </w:r>
            <w:r w:rsidR="00833511">
              <w:rPr>
                <w:rFonts w:ascii="Times New Roman" w:hAnsi="Times New Roman"/>
                <w:sz w:val="36"/>
              </w:rPr>
              <w:t>2</w:t>
            </w:r>
            <w:r w:rsidR="00833511" w:rsidRPr="00833511">
              <w:rPr>
                <w:rFonts w:ascii="Times New Roman" w:hAnsi="Times New Roman"/>
                <w:sz w:val="36"/>
                <w:vertAlign w:val="superscript"/>
              </w:rPr>
              <w:t>nd</w:t>
            </w:r>
            <w:r w:rsidR="00833511">
              <w:rPr>
                <w:rFonts w:ascii="Times New Roman" w:hAnsi="Times New Roman"/>
                <w:sz w:val="36"/>
              </w:rPr>
              <w:t xml:space="preserve"> </w:t>
            </w:r>
            <w:r w:rsidR="001B37FC" w:rsidRPr="00F343FB">
              <w:rPr>
                <w:rFonts w:ascii="Times New Roman" w:hAnsi="Times New Roman"/>
                <w:sz w:val="36"/>
              </w:rPr>
              <w:t xml:space="preserve">Governance </w:t>
            </w:r>
            <w:r w:rsidR="00BC6F67">
              <w:rPr>
                <w:rFonts w:ascii="Times New Roman" w:hAnsi="Times New Roman"/>
                <w:sz w:val="36"/>
              </w:rPr>
              <w:t>Sub-</w:t>
            </w:r>
            <w:r w:rsidR="001B37FC" w:rsidRPr="00F343FB">
              <w:rPr>
                <w:rFonts w:ascii="Times New Roman" w:hAnsi="Times New Roman"/>
                <w:sz w:val="36"/>
              </w:rPr>
              <w:t>Committee</w:t>
            </w:r>
            <w:r w:rsidR="00556A12" w:rsidRPr="00F343FB">
              <w:rPr>
                <w:rFonts w:ascii="Times New Roman" w:hAnsi="Times New Roman"/>
                <w:sz w:val="36"/>
              </w:rPr>
              <w:t xml:space="preserve"> </w:t>
            </w:r>
            <w:r w:rsidR="00BC6F67">
              <w:rPr>
                <w:rFonts w:ascii="Times New Roman" w:hAnsi="Times New Roman"/>
                <w:sz w:val="36"/>
              </w:rPr>
              <w:t xml:space="preserve">(PEC) </w:t>
            </w:r>
            <w:r w:rsidR="00556A12" w:rsidRPr="00F343FB">
              <w:rPr>
                <w:rFonts w:ascii="Times New Roman" w:hAnsi="Times New Roman"/>
                <w:sz w:val="36"/>
              </w:rPr>
              <w:t>Meeting</w:t>
            </w:r>
            <w:r w:rsidR="000C7E9B" w:rsidRPr="00F343FB">
              <w:rPr>
                <w:rFonts w:ascii="Times New Roman" w:hAnsi="Times New Roman"/>
                <w:sz w:val="36"/>
              </w:rPr>
              <w:t xml:space="preserve"> (</w:t>
            </w:r>
            <w:r w:rsidR="00BC6F67">
              <w:rPr>
                <w:rFonts w:ascii="Times New Roman" w:hAnsi="Times New Roman"/>
                <w:i/>
                <w:sz w:val="36"/>
              </w:rPr>
              <w:t>August</w:t>
            </w:r>
            <w:r w:rsidR="00B86EE6">
              <w:rPr>
                <w:rFonts w:ascii="Times New Roman" w:hAnsi="Times New Roman"/>
                <w:i/>
                <w:sz w:val="36"/>
              </w:rPr>
              <w:t xml:space="preserve"> 2016</w:t>
            </w:r>
            <w:r w:rsidR="00385CFB" w:rsidRPr="00F343FB">
              <w:rPr>
                <w:rFonts w:ascii="Times New Roman" w:hAnsi="Times New Roman"/>
                <w:i/>
                <w:sz w:val="36"/>
              </w:rPr>
              <w:t xml:space="preserve"> Minutes</w:t>
            </w:r>
            <w:r w:rsidR="000C7E9B" w:rsidRPr="00F343FB">
              <w:rPr>
                <w:rFonts w:ascii="Times New Roman" w:hAnsi="Times New Roman"/>
                <w:sz w:val="36"/>
              </w:rPr>
              <w:t>)</w:t>
            </w:r>
          </w:p>
        </w:tc>
      </w:tr>
      <w:tr w:rsidR="00E43BAB" w:rsidRPr="00EC37E9" w:rsidTr="00583181">
        <w:trPr>
          <w:trHeight w:val="274"/>
          <w:jc w:val="center"/>
        </w:trPr>
        <w:tc>
          <w:tcPr>
            <w:tcW w:w="3643" w:type="dxa"/>
            <w:gridSpan w:val="2"/>
            <w:shd w:val="clear" w:color="auto" w:fill="auto"/>
            <w:tcMar>
              <w:left w:w="0" w:type="dxa"/>
            </w:tcMar>
            <w:vAlign w:val="center"/>
          </w:tcPr>
          <w:p w:rsidR="00E43BAB" w:rsidRPr="00EC37E9" w:rsidRDefault="00E43BAB" w:rsidP="005052C5">
            <w:pPr>
              <w:pStyle w:val="Heading3"/>
              <w:rPr>
                <w:rFonts w:ascii="Times New Roman" w:hAnsi="Times New Roman"/>
              </w:rPr>
            </w:pPr>
            <w:r w:rsidRPr="00EC37E9">
              <w:rPr>
                <w:rFonts w:ascii="Times New Roman" w:hAnsi="Times New Roman"/>
              </w:rPr>
              <w:t>Minutes</w:t>
            </w:r>
            <w:r w:rsidR="007F15DA" w:rsidRPr="00EC37E9">
              <w:rPr>
                <w:rFonts w:ascii="Times New Roman" w:hAnsi="Times New Roman"/>
              </w:rPr>
              <w:t xml:space="preserve"> </w:t>
            </w:r>
          </w:p>
        </w:tc>
        <w:tc>
          <w:tcPr>
            <w:tcW w:w="2440" w:type="dxa"/>
            <w:gridSpan w:val="2"/>
            <w:shd w:val="clear" w:color="auto" w:fill="auto"/>
            <w:tcMar>
              <w:left w:w="0" w:type="dxa"/>
            </w:tcMar>
            <w:vAlign w:val="center"/>
          </w:tcPr>
          <w:p w:rsidR="008B4FB1" w:rsidRPr="00EC37E9" w:rsidRDefault="00A52057" w:rsidP="008B4FB1">
            <w:pPr>
              <w:pStyle w:val="Heading4"/>
              <w:framePr w:hSpace="0" w:wrap="auto" w:vAnchor="margin" w:hAnchor="text" w:xAlign="left" w:yAlign="inline"/>
              <w:suppressOverlap w:val="0"/>
              <w:rPr>
                <w:rFonts w:ascii="Times New Roman" w:hAnsi="Times New Roman"/>
              </w:rPr>
            </w:pPr>
            <w:r w:rsidRPr="00EC37E9">
              <w:rPr>
                <w:rFonts w:ascii="Times New Roman" w:hAnsi="Times New Roman"/>
              </w:rPr>
              <w:t>Date:</w:t>
            </w:r>
            <w:r w:rsidR="009C22CD" w:rsidRPr="00EC37E9">
              <w:rPr>
                <w:rFonts w:ascii="Times New Roman" w:hAnsi="Times New Roman"/>
              </w:rPr>
              <w:t xml:space="preserve"> </w:t>
            </w:r>
            <w:r w:rsidR="00F05E5F">
              <w:rPr>
                <w:rFonts w:ascii="Times New Roman" w:hAnsi="Times New Roman"/>
              </w:rPr>
              <w:t>August 23</w:t>
            </w:r>
            <w:r w:rsidR="00F05E5F" w:rsidRPr="00F05E5F">
              <w:rPr>
                <w:rFonts w:ascii="Times New Roman" w:hAnsi="Times New Roman"/>
                <w:vertAlign w:val="superscript"/>
              </w:rPr>
              <w:t>rd</w:t>
            </w:r>
            <w:r w:rsidR="00BC6F67">
              <w:rPr>
                <w:rFonts w:ascii="Times New Roman" w:hAnsi="Times New Roman"/>
              </w:rPr>
              <w:t xml:space="preserve"> 2016</w:t>
            </w:r>
          </w:p>
          <w:p w:rsidR="00E43BAB" w:rsidRPr="00EC37E9" w:rsidRDefault="007F15DA" w:rsidP="008B4FB1">
            <w:pPr>
              <w:pStyle w:val="Heading4"/>
              <w:framePr w:hSpace="0" w:wrap="auto" w:vAnchor="margin" w:hAnchor="text" w:xAlign="left" w:yAlign="inline"/>
              <w:suppressOverlap w:val="0"/>
              <w:rPr>
                <w:rFonts w:ascii="Times New Roman" w:hAnsi="Times New Roman"/>
              </w:rPr>
            </w:pPr>
            <w:r w:rsidRPr="00EC37E9">
              <w:rPr>
                <w:rFonts w:ascii="Times New Roman" w:hAnsi="Times New Roman"/>
              </w:rPr>
              <w:t xml:space="preserve">Type: </w:t>
            </w:r>
            <w:r w:rsidR="000C7E9B" w:rsidRPr="00EC37E9">
              <w:rPr>
                <w:rFonts w:ascii="Times New Roman" w:hAnsi="Times New Roman"/>
              </w:rPr>
              <w:t>scheduled</w:t>
            </w:r>
          </w:p>
          <w:p w:rsidR="007F15DA" w:rsidRPr="00EC37E9" w:rsidRDefault="007F15DA" w:rsidP="00BC6F67">
            <w:pPr>
              <w:rPr>
                <w:rFonts w:ascii="Times New Roman" w:hAnsi="Times New Roman"/>
              </w:rPr>
            </w:pPr>
            <w:r w:rsidRPr="00EC37E9">
              <w:rPr>
                <w:rFonts w:ascii="Times New Roman" w:hAnsi="Times New Roman"/>
              </w:rPr>
              <w:t>TIME</w:t>
            </w:r>
            <w:r w:rsidR="0055664D" w:rsidRPr="00EC37E9">
              <w:rPr>
                <w:rFonts w:ascii="Times New Roman" w:hAnsi="Times New Roman"/>
              </w:rPr>
              <w:t xml:space="preserve">: </w:t>
            </w:r>
            <w:r w:rsidR="00BC6F67">
              <w:rPr>
                <w:rFonts w:ascii="Times New Roman" w:hAnsi="Times New Roman"/>
              </w:rPr>
              <w:t>9:00-11:00</w:t>
            </w:r>
          </w:p>
        </w:tc>
        <w:tc>
          <w:tcPr>
            <w:tcW w:w="1874" w:type="dxa"/>
            <w:gridSpan w:val="3"/>
            <w:shd w:val="clear" w:color="auto" w:fill="auto"/>
            <w:tcMar>
              <w:left w:w="0" w:type="dxa"/>
            </w:tcMar>
            <w:vAlign w:val="center"/>
          </w:tcPr>
          <w:p w:rsidR="00E43BAB" w:rsidRPr="00EC37E9" w:rsidRDefault="00E43BAB" w:rsidP="005052C5">
            <w:pPr>
              <w:pStyle w:val="Heading4"/>
              <w:framePr w:hSpace="0" w:wrap="auto" w:vAnchor="margin" w:hAnchor="text" w:xAlign="left" w:yAlign="inline"/>
              <w:suppressOverlap w:val="0"/>
              <w:rPr>
                <w:rFonts w:ascii="Times New Roman" w:hAnsi="Times New Roman"/>
              </w:rPr>
            </w:pPr>
          </w:p>
        </w:tc>
        <w:tc>
          <w:tcPr>
            <w:tcW w:w="3253" w:type="dxa"/>
            <w:gridSpan w:val="3"/>
            <w:shd w:val="clear" w:color="auto" w:fill="auto"/>
            <w:tcMar>
              <w:left w:w="0" w:type="dxa"/>
            </w:tcMar>
            <w:vAlign w:val="center"/>
          </w:tcPr>
          <w:p w:rsidR="00E43BAB" w:rsidRPr="00EC37E9" w:rsidRDefault="0055664D" w:rsidP="00BC6F67">
            <w:pPr>
              <w:pStyle w:val="Heading5"/>
              <w:rPr>
                <w:rFonts w:ascii="Times New Roman" w:hAnsi="Times New Roman"/>
              </w:rPr>
            </w:pPr>
            <w:r w:rsidRPr="00EC37E9">
              <w:rPr>
                <w:rFonts w:ascii="Times New Roman" w:hAnsi="Times New Roman"/>
              </w:rPr>
              <w:t>Location:</w:t>
            </w:r>
            <w:r w:rsidR="000C7E9B" w:rsidRPr="00EC37E9">
              <w:rPr>
                <w:rFonts w:ascii="Times New Roman" w:hAnsi="Times New Roman"/>
              </w:rPr>
              <w:t xml:space="preserve"> </w:t>
            </w:r>
            <w:r w:rsidR="00BC6F67">
              <w:rPr>
                <w:rFonts w:ascii="Times New Roman" w:hAnsi="Times New Roman"/>
              </w:rPr>
              <w:t>MDHA Board room (main building)</w:t>
            </w:r>
            <w:r w:rsidR="00FF29E5" w:rsidRPr="00EC37E9">
              <w:rPr>
                <w:rFonts w:ascii="Times New Roman" w:hAnsi="Times New Roman"/>
              </w:rPr>
              <w:t xml:space="preserve"> </w:t>
            </w:r>
          </w:p>
        </w:tc>
      </w:tr>
      <w:tr w:rsidR="00E43BAB" w:rsidRPr="00EC37E9" w:rsidTr="00583181">
        <w:trPr>
          <w:trHeight w:val="229"/>
          <w:jc w:val="center"/>
        </w:trPr>
        <w:tc>
          <w:tcPr>
            <w:tcW w:w="11210" w:type="dxa"/>
            <w:gridSpan w:val="10"/>
            <w:shd w:val="clear" w:color="auto" w:fill="auto"/>
            <w:tcMar>
              <w:left w:w="0" w:type="dxa"/>
            </w:tcMar>
            <w:vAlign w:val="center"/>
          </w:tcPr>
          <w:p w:rsidR="00E43BAB" w:rsidRPr="00EC37E9" w:rsidRDefault="00E43BAB" w:rsidP="005052C5">
            <w:pPr>
              <w:rPr>
                <w:rFonts w:ascii="Times New Roman" w:hAnsi="Times New Roman"/>
              </w:rPr>
            </w:pPr>
          </w:p>
        </w:tc>
      </w:tr>
      <w:tr w:rsidR="000C7E9B" w:rsidRPr="00EC37E9" w:rsidTr="002D577A">
        <w:trPr>
          <w:trHeight w:val="360"/>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Facilitator</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BC6F67" w:rsidP="00DD11FA">
            <w:pPr>
              <w:rPr>
                <w:rFonts w:ascii="Times New Roman" w:hAnsi="Times New Roman"/>
                <w:sz w:val="20"/>
                <w:szCs w:val="20"/>
              </w:rPr>
            </w:pPr>
            <w:r>
              <w:rPr>
                <w:rFonts w:ascii="Times New Roman" w:hAnsi="Times New Roman"/>
                <w:sz w:val="20"/>
                <w:szCs w:val="20"/>
              </w:rPr>
              <w:t>Suzie Tolmie</w:t>
            </w:r>
          </w:p>
        </w:tc>
      </w:tr>
      <w:tr w:rsidR="000C7E9B" w:rsidRPr="00EC37E9" w:rsidTr="002D577A">
        <w:trPr>
          <w:trHeight w:val="360"/>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taker of minutes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0C7E9B" w:rsidP="00DD11FA">
            <w:pPr>
              <w:rPr>
                <w:rFonts w:ascii="Times New Roman" w:hAnsi="Times New Roman"/>
                <w:sz w:val="20"/>
                <w:szCs w:val="20"/>
              </w:rPr>
            </w:pPr>
            <w:r w:rsidRPr="00EC37E9">
              <w:rPr>
                <w:rFonts w:ascii="Times New Roman" w:hAnsi="Times New Roman"/>
                <w:sz w:val="20"/>
                <w:szCs w:val="20"/>
              </w:rPr>
              <w:t>Amanda Wood</w:t>
            </w:r>
          </w:p>
        </w:tc>
      </w:tr>
      <w:tr w:rsidR="000C7E9B" w:rsidRPr="00EC37E9"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Attendees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BC6F67" w:rsidP="00F5674F">
            <w:pPr>
              <w:spacing w:line="276" w:lineRule="auto"/>
              <w:rPr>
                <w:rFonts w:ascii="Times New Roman" w:hAnsi="Times New Roman"/>
                <w:sz w:val="20"/>
                <w:szCs w:val="20"/>
              </w:rPr>
            </w:pPr>
            <w:r>
              <w:rPr>
                <w:rFonts w:ascii="Times New Roman" w:hAnsi="Times New Roman"/>
                <w:sz w:val="20"/>
                <w:szCs w:val="20"/>
              </w:rPr>
              <w:t>Bill Friskics-Warren, Paula Foster, Beth Groves, Giovanni Achoe, Liz Coleman, Matt Deeb, Beth Shinn, Suzie Tolmie, Mandy Wood</w:t>
            </w:r>
          </w:p>
        </w:tc>
      </w:tr>
      <w:tr w:rsidR="000C7E9B" w:rsidRPr="00EC37E9" w:rsidTr="002D577A">
        <w:trPr>
          <w:trHeight w:val="588"/>
          <w:jc w:val="center"/>
        </w:trPr>
        <w:tc>
          <w:tcPr>
            <w:tcW w:w="1753" w:type="dxa"/>
            <w:tcBorders>
              <w:top w:val="single" w:sz="4" w:space="0" w:color="C0C0C0"/>
              <w:left w:val="single" w:sz="4" w:space="0" w:color="C0C0C0"/>
              <w:bottom w:val="single" w:sz="4" w:space="0" w:color="C0C0C0"/>
              <w:right w:val="single" w:sz="4" w:space="0" w:color="C0C0C0"/>
            </w:tcBorders>
            <w:shd w:val="clear" w:color="auto" w:fill="F3F3F3"/>
            <w:vAlign w:val="center"/>
          </w:tcPr>
          <w:p w:rsidR="000C7E9B" w:rsidRPr="00EC37E9" w:rsidRDefault="000C7E9B" w:rsidP="005052C5">
            <w:pPr>
              <w:pStyle w:val="AllCapsHeading"/>
              <w:rPr>
                <w:rFonts w:ascii="Times New Roman" w:hAnsi="Times New Roman"/>
              </w:rPr>
            </w:pPr>
            <w:r w:rsidRPr="00EC37E9">
              <w:rPr>
                <w:rFonts w:ascii="Times New Roman" w:hAnsi="Times New Roman"/>
              </w:rPr>
              <w:t>absent members</w:t>
            </w:r>
          </w:p>
        </w:tc>
        <w:tc>
          <w:tcPr>
            <w:tcW w:w="9457" w:type="dxa"/>
            <w:gridSpan w:val="9"/>
            <w:tcBorders>
              <w:top w:val="single" w:sz="4" w:space="0" w:color="C0C0C0"/>
              <w:left w:val="single" w:sz="4" w:space="0" w:color="C0C0C0"/>
              <w:bottom w:val="single" w:sz="4" w:space="0" w:color="C0C0C0"/>
              <w:right w:val="single" w:sz="4" w:space="0" w:color="C0C0C0"/>
            </w:tcBorders>
            <w:shd w:val="clear" w:color="auto" w:fill="auto"/>
            <w:vAlign w:val="center"/>
          </w:tcPr>
          <w:p w:rsidR="000C7E9B" w:rsidRPr="00EC37E9" w:rsidRDefault="00BC6F67" w:rsidP="00A92599">
            <w:pPr>
              <w:spacing w:line="276" w:lineRule="auto"/>
              <w:rPr>
                <w:rFonts w:ascii="Times New Roman" w:eastAsiaTheme="minorHAnsi" w:hAnsi="Times New Roman"/>
                <w:spacing w:val="0"/>
                <w:sz w:val="20"/>
                <w:szCs w:val="20"/>
              </w:rPr>
            </w:pPr>
            <w:r>
              <w:rPr>
                <w:rFonts w:ascii="Times New Roman" w:eastAsiaTheme="minorHAnsi" w:hAnsi="Times New Roman"/>
                <w:spacing w:val="0"/>
                <w:sz w:val="20"/>
                <w:szCs w:val="20"/>
              </w:rPr>
              <w:t>Freddie O’Connell</w:t>
            </w:r>
          </w:p>
        </w:tc>
      </w:tr>
      <w:tr w:rsidR="000C7E9B" w:rsidRPr="00EC37E9" w:rsidTr="00583181">
        <w:trPr>
          <w:trHeight w:val="432"/>
          <w:jc w:val="center"/>
        </w:trPr>
        <w:tc>
          <w:tcPr>
            <w:tcW w:w="11210" w:type="dxa"/>
            <w:gridSpan w:val="10"/>
            <w:tcBorders>
              <w:top w:val="single" w:sz="4" w:space="0" w:color="C0C0C0"/>
            </w:tcBorders>
            <w:shd w:val="clear" w:color="auto" w:fill="auto"/>
            <w:vAlign w:val="center"/>
          </w:tcPr>
          <w:p w:rsidR="000C7E9B" w:rsidRPr="00BE6FBD" w:rsidRDefault="00BE6FBD" w:rsidP="005052C5">
            <w:pPr>
              <w:rPr>
                <w:rFonts w:ascii="Times New Roman" w:hAnsi="Times New Roman"/>
                <w:b/>
                <w:color w:val="FF0000"/>
                <w:sz w:val="32"/>
              </w:rPr>
            </w:pPr>
            <w:r w:rsidRPr="00BE6FBD">
              <w:rPr>
                <w:rFonts w:ascii="Times New Roman" w:hAnsi="Times New Roman"/>
                <w:b/>
                <w:color w:val="FF0000"/>
                <w:sz w:val="32"/>
              </w:rPr>
              <w:t>COC APPLICATION DUE DATE: 09.14.2016</w:t>
            </w:r>
          </w:p>
        </w:tc>
      </w:tr>
      <w:tr w:rsidR="000C7E9B" w:rsidRPr="00EC37E9" w:rsidTr="00583181">
        <w:trPr>
          <w:trHeight w:val="360"/>
          <w:jc w:val="center"/>
        </w:trPr>
        <w:tc>
          <w:tcPr>
            <w:tcW w:w="11210" w:type="dxa"/>
            <w:gridSpan w:val="10"/>
            <w:shd w:val="clear" w:color="auto" w:fill="auto"/>
            <w:tcMar>
              <w:left w:w="0" w:type="dxa"/>
            </w:tcMar>
            <w:vAlign w:val="center"/>
          </w:tcPr>
          <w:p w:rsidR="000C7E9B" w:rsidRPr="00EC37E9" w:rsidRDefault="000C7E9B" w:rsidP="005052C5">
            <w:pPr>
              <w:pStyle w:val="Heading2"/>
              <w:rPr>
                <w:rFonts w:ascii="Times New Roman" w:hAnsi="Times New Roman"/>
              </w:rPr>
            </w:pPr>
            <w:bookmarkStart w:id="0" w:name="MinuteTopic"/>
            <w:bookmarkEnd w:id="0"/>
            <w:r w:rsidRPr="00EC37E9">
              <w:rPr>
                <w:rFonts w:ascii="Times New Roman" w:hAnsi="Times New Roman"/>
              </w:rPr>
              <w:t>Agenda topics</w:t>
            </w:r>
          </w:p>
        </w:tc>
      </w:tr>
      <w:tr w:rsidR="000C7E9B" w:rsidRPr="00EC37E9" w:rsidTr="00583181">
        <w:trPr>
          <w:trHeight w:val="360"/>
          <w:jc w:val="center"/>
        </w:trPr>
        <w:tc>
          <w:tcPr>
            <w:tcW w:w="3643" w:type="dxa"/>
            <w:gridSpan w:val="2"/>
            <w:tcBorders>
              <w:bottom w:val="single" w:sz="12" w:space="0" w:color="999999"/>
            </w:tcBorders>
            <w:shd w:val="clear" w:color="auto" w:fill="auto"/>
            <w:tcMar>
              <w:left w:w="0" w:type="dxa"/>
            </w:tcMar>
            <w:vAlign w:val="center"/>
          </w:tcPr>
          <w:p w:rsidR="000C7E9B" w:rsidRPr="000568D2" w:rsidRDefault="00833511" w:rsidP="005840FB">
            <w:pPr>
              <w:pStyle w:val="Heading4"/>
              <w:framePr w:hSpace="0" w:wrap="auto" w:vAnchor="margin" w:hAnchor="text" w:xAlign="left" w:yAlign="inline"/>
              <w:numPr>
                <w:ilvl w:val="0"/>
                <w:numId w:val="1"/>
              </w:numPr>
              <w:suppressOverlap w:val="0"/>
              <w:rPr>
                <w:rFonts w:ascii="Times New Roman" w:hAnsi="Times New Roman"/>
              </w:rPr>
            </w:pPr>
            <w:bookmarkStart w:id="1" w:name="MinuteItems"/>
            <w:bookmarkStart w:id="2" w:name="MinuteTopicSection"/>
            <w:bookmarkEnd w:id="1"/>
            <w:r>
              <w:rPr>
                <w:rFonts w:ascii="Times New Roman" w:hAnsi="Times New Roman"/>
              </w:rPr>
              <w:t>Reviewed agenda items:</w:t>
            </w:r>
          </w:p>
        </w:tc>
        <w:tc>
          <w:tcPr>
            <w:tcW w:w="4314" w:type="dxa"/>
            <w:gridSpan w:val="5"/>
            <w:tcBorders>
              <w:bottom w:val="single" w:sz="12" w:space="0" w:color="999999"/>
            </w:tcBorders>
            <w:shd w:val="clear" w:color="auto" w:fill="auto"/>
            <w:tcMar>
              <w:left w:w="0" w:type="dxa"/>
            </w:tcMar>
            <w:vAlign w:val="center"/>
          </w:tcPr>
          <w:p w:rsidR="000C7E9B" w:rsidRPr="000568D2" w:rsidRDefault="000C7E9B" w:rsidP="005052C5">
            <w:pPr>
              <w:pStyle w:val="Heading4"/>
              <w:framePr w:hSpace="0" w:wrap="auto" w:vAnchor="margin" w:hAnchor="text" w:xAlign="left" w:yAlign="inline"/>
              <w:suppressOverlap w:val="0"/>
              <w:rPr>
                <w:rFonts w:ascii="Times New Roman" w:hAnsi="Times New Roman"/>
              </w:rPr>
            </w:pPr>
          </w:p>
        </w:tc>
        <w:tc>
          <w:tcPr>
            <w:tcW w:w="3253" w:type="dxa"/>
            <w:gridSpan w:val="3"/>
            <w:tcBorders>
              <w:bottom w:val="single" w:sz="12" w:space="0" w:color="999999"/>
            </w:tcBorders>
            <w:shd w:val="clear" w:color="auto" w:fill="auto"/>
            <w:tcMar>
              <w:left w:w="0" w:type="dxa"/>
            </w:tcMar>
            <w:vAlign w:val="center"/>
          </w:tcPr>
          <w:p w:rsidR="000C7E9B" w:rsidRPr="00EC37E9" w:rsidRDefault="005840FB" w:rsidP="005052C5">
            <w:pPr>
              <w:pStyle w:val="Heading5"/>
              <w:rPr>
                <w:rFonts w:ascii="Times New Roman" w:hAnsi="Times New Roman"/>
              </w:rPr>
            </w:pPr>
            <w:r w:rsidRPr="00EC37E9">
              <w:rPr>
                <w:rFonts w:ascii="Times New Roman" w:hAnsi="Times New Roman"/>
                <w:sz w:val="18"/>
                <w:szCs w:val="18"/>
              </w:rPr>
              <w:t>Suzie TolmIE</w:t>
            </w:r>
          </w:p>
        </w:tc>
      </w:tr>
      <w:tr w:rsidR="000C7E9B" w:rsidRPr="00EC37E9" w:rsidTr="002C5E97">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BC6F67" w:rsidP="005052C5">
            <w:pPr>
              <w:pStyle w:val="AllCapsHeading"/>
              <w:rPr>
                <w:rFonts w:ascii="Times New Roman" w:hAnsi="Times New Roman"/>
                <w:color w:val="auto"/>
                <w:sz w:val="18"/>
                <w:szCs w:val="18"/>
              </w:rPr>
            </w:pPr>
            <w:bookmarkStart w:id="3" w:name="MinuteDiscussion"/>
            <w:bookmarkEnd w:id="3"/>
            <w:r>
              <w:rPr>
                <w:rFonts w:ascii="Times New Roman" w:hAnsi="Times New Roman"/>
                <w:color w:val="auto"/>
                <w:sz w:val="18"/>
                <w:szCs w:val="18"/>
              </w:rPr>
              <w:t>Discussion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833511" w:rsidRPr="00833511" w:rsidRDefault="00833511" w:rsidP="00833511">
            <w:pPr>
              <w:pStyle w:val="ListParagraph"/>
              <w:numPr>
                <w:ilvl w:val="0"/>
                <w:numId w:val="25"/>
              </w:numPr>
              <w:rPr>
                <w:rFonts w:ascii="Times New Roman" w:hAnsi="Times New Roman"/>
                <w:sz w:val="18"/>
              </w:rPr>
            </w:pPr>
            <w:r>
              <w:rPr>
                <w:rFonts w:ascii="Times New Roman" w:hAnsi="Times New Roman"/>
                <w:sz w:val="18"/>
              </w:rPr>
              <w:t xml:space="preserve">CoC National Competition Developments: Deadline listed above was reiterated along with the PSH or RRH Bonus opportunities in this year’s competitive round. </w:t>
            </w:r>
          </w:p>
        </w:tc>
      </w:tr>
      <w:tr w:rsidR="000C7E9B" w:rsidRPr="00EC37E9" w:rsidTr="002C5E97">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5052C5">
            <w:pPr>
              <w:pStyle w:val="AllCapsHeading"/>
              <w:rPr>
                <w:rFonts w:ascii="Times New Roman" w:hAnsi="Times New Roman"/>
                <w:color w:val="auto"/>
                <w:sz w:val="18"/>
                <w:szCs w:val="18"/>
              </w:rPr>
            </w:pPr>
            <w:bookmarkStart w:id="4" w:name="MinuteConclusion"/>
            <w:bookmarkEnd w:id="4"/>
            <w:r w:rsidRPr="000568D2">
              <w:rPr>
                <w:rFonts w:ascii="Times New Roman" w:hAnsi="Times New Roman"/>
                <w:color w:val="auto"/>
                <w:szCs w:val="18"/>
              </w:rPr>
              <w:t>Approved/denied</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0568D2" w:rsidRDefault="00AF3867" w:rsidP="005052C5">
            <w:pPr>
              <w:rPr>
                <w:rFonts w:ascii="Times New Roman" w:hAnsi="Times New Roman"/>
                <w:b/>
                <w:sz w:val="18"/>
              </w:rPr>
            </w:pPr>
            <w:r w:rsidRPr="000568D2">
              <w:rPr>
                <w:rFonts w:ascii="Times New Roman" w:hAnsi="Times New Roman"/>
                <w:b/>
                <w:sz w:val="18"/>
              </w:rPr>
              <w:t>Approved.</w:t>
            </w:r>
            <w:r w:rsidR="00C4165B" w:rsidRPr="000568D2">
              <w:rPr>
                <w:rFonts w:ascii="Times New Roman" w:hAnsi="Times New Roman"/>
                <w:b/>
                <w:sz w:val="18"/>
              </w:rPr>
              <w:t xml:space="preserve"> </w:t>
            </w:r>
          </w:p>
        </w:tc>
      </w:tr>
      <w:tr w:rsidR="000C7E9B" w:rsidRPr="00EC37E9" w:rsidTr="00583181">
        <w:trPr>
          <w:trHeight w:hRule="exact" w:val="115"/>
          <w:jc w:val="center"/>
        </w:trPr>
        <w:tc>
          <w:tcPr>
            <w:tcW w:w="11210" w:type="dxa"/>
            <w:gridSpan w:val="10"/>
            <w:tcBorders>
              <w:top w:val="single" w:sz="4" w:space="0" w:color="C0C0C0"/>
            </w:tcBorders>
            <w:shd w:val="clear" w:color="auto" w:fill="auto"/>
            <w:vAlign w:val="center"/>
          </w:tcPr>
          <w:p w:rsidR="000C7E9B" w:rsidRPr="000568D2" w:rsidRDefault="000C7E9B" w:rsidP="005052C5">
            <w:pPr>
              <w:rPr>
                <w:rFonts w:ascii="Times New Roman" w:hAnsi="Times New Roman"/>
                <w:sz w:val="18"/>
              </w:rPr>
            </w:pPr>
            <w:bookmarkStart w:id="5" w:name="MinuteActionItems"/>
            <w:bookmarkEnd w:id="2"/>
            <w:bookmarkEnd w:id="5"/>
          </w:p>
        </w:tc>
      </w:tr>
      <w:tr w:rsidR="000C7E9B" w:rsidRPr="00EC37E9" w:rsidTr="00583181">
        <w:trPr>
          <w:trHeight w:val="360"/>
          <w:jc w:val="center"/>
        </w:trPr>
        <w:tc>
          <w:tcPr>
            <w:tcW w:w="3643" w:type="dxa"/>
            <w:gridSpan w:val="2"/>
            <w:shd w:val="clear" w:color="auto" w:fill="auto"/>
            <w:tcMar>
              <w:left w:w="0" w:type="dxa"/>
            </w:tcMar>
            <w:vAlign w:val="center"/>
          </w:tcPr>
          <w:p w:rsidR="000C7E9B" w:rsidRPr="000568D2" w:rsidRDefault="00833511" w:rsidP="00373815">
            <w:pPr>
              <w:pStyle w:val="Heading4"/>
              <w:framePr w:hSpace="0" w:wrap="auto" w:vAnchor="margin" w:hAnchor="text" w:xAlign="left" w:yAlign="inline"/>
              <w:numPr>
                <w:ilvl w:val="0"/>
                <w:numId w:val="1"/>
              </w:numPr>
              <w:suppressOverlap w:val="0"/>
              <w:rPr>
                <w:rFonts w:ascii="Times New Roman" w:hAnsi="Times New Roman"/>
                <w:sz w:val="18"/>
                <w:szCs w:val="18"/>
              </w:rPr>
            </w:pPr>
            <w:bookmarkStart w:id="6" w:name="MinuteAdditional"/>
            <w:bookmarkEnd w:id="6"/>
            <w:r>
              <w:rPr>
                <w:rFonts w:ascii="Times New Roman" w:hAnsi="Times New Roman"/>
              </w:rPr>
              <w:t>PEC Recommendations</w:t>
            </w:r>
          </w:p>
        </w:tc>
        <w:tc>
          <w:tcPr>
            <w:tcW w:w="4314" w:type="dxa"/>
            <w:gridSpan w:val="5"/>
            <w:shd w:val="clear" w:color="auto" w:fill="auto"/>
            <w:tcMar>
              <w:left w:w="0" w:type="dxa"/>
            </w:tcMar>
            <w:vAlign w:val="center"/>
          </w:tcPr>
          <w:p w:rsidR="000C7E9B" w:rsidRPr="000568D2" w:rsidRDefault="00483F62" w:rsidP="00483F62">
            <w:pPr>
              <w:pStyle w:val="Heading4"/>
              <w:framePr w:hSpace="0" w:wrap="auto" w:vAnchor="margin" w:hAnchor="text" w:xAlign="left" w:yAlign="inline"/>
              <w:suppressOverlap w:val="0"/>
              <w:jc w:val="center"/>
              <w:rPr>
                <w:rFonts w:ascii="Times New Roman" w:hAnsi="Times New Roman"/>
                <w:b/>
                <w:sz w:val="18"/>
                <w:szCs w:val="18"/>
              </w:rPr>
            </w:pPr>
            <w:r>
              <w:rPr>
                <w:rFonts w:ascii="Times New Roman" w:hAnsi="Times New Roman"/>
                <w:b/>
                <w:sz w:val="18"/>
                <w:szCs w:val="18"/>
              </w:rPr>
              <w:t>FINAL SCENARIO PROPOSED:</w:t>
            </w:r>
          </w:p>
        </w:tc>
        <w:tc>
          <w:tcPr>
            <w:tcW w:w="3253" w:type="dxa"/>
            <w:gridSpan w:val="3"/>
            <w:shd w:val="clear" w:color="auto" w:fill="auto"/>
            <w:tcMar>
              <w:left w:w="0" w:type="dxa"/>
            </w:tcMar>
            <w:vAlign w:val="center"/>
          </w:tcPr>
          <w:p w:rsidR="000C7E9B" w:rsidRPr="00EC37E9" w:rsidRDefault="00833511" w:rsidP="005052C5">
            <w:pPr>
              <w:pStyle w:val="Heading5"/>
              <w:rPr>
                <w:rFonts w:ascii="Times New Roman" w:hAnsi="Times New Roman"/>
                <w:sz w:val="18"/>
                <w:szCs w:val="18"/>
              </w:rPr>
            </w:pPr>
            <w:r>
              <w:rPr>
                <w:rFonts w:ascii="Times New Roman" w:hAnsi="Times New Roman"/>
                <w:sz w:val="18"/>
                <w:szCs w:val="18"/>
              </w:rPr>
              <w:t>Group Discussion</w:t>
            </w:r>
          </w:p>
        </w:tc>
      </w:tr>
      <w:tr w:rsidR="000C7E9B" w:rsidRPr="00EC37E9" w:rsidTr="00DD11FA">
        <w:trPr>
          <w:trHeight w:val="360"/>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DD11FA">
            <w:pPr>
              <w:pStyle w:val="AllCapsHeading"/>
              <w:rPr>
                <w:rFonts w:ascii="Times New Roman" w:hAnsi="Times New Roman"/>
                <w:color w:val="auto"/>
                <w:sz w:val="18"/>
                <w:szCs w:val="18"/>
              </w:rPr>
            </w:pPr>
            <w:r w:rsidRPr="000568D2">
              <w:rPr>
                <w:rFonts w:ascii="Times New Roman" w:hAnsi="Times New Roman"/>
                <w:color w:val="auto"/>
                <w:sz w:val="18"/>
                <w:szCs w:val="18"/>
              </w:rPr>
              <w:t>Discussion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center"/>
          </w:tcPr>
          <w:p w:rsidR="000C7E9B" w:rsidRPr="00BE6FBD" w:rsidRDefault="00833511" w:rsidP="00137499">
            <w:pPr>
              <w:rPr>
                <w:rFonts w:ascii="Times New Roman" w:hAnsi="Times New Roman"/>
                <w:sz w:val="18"/>
              </w:rPr>
            </w:pPr>
            <w:r>
              <w:rPr>
                <w:rFonts w:ascii="Times New Roman" w:hAnsi="Times New Roman"/>
                <w:b/>
                <w:sz w:val="18"/>
              </w:rPr>
              <w:t>(</w:t>
            </w:r>
            <w:r w:rsidR="00137499">
              <w:rPr>
                <w:rFonts w:ascii="Times New Roman" w:hAnsi="Times New Roman"/>
                <w:b/>
                <w:sz w:val="18"/>
              </w:rPr>
              <w:t>Motion</w:t>
            </w:r>
            <w:r>
              <w:rPr>
                <w:rFonts w:ascii="Times New Roman" w:hAnsi="Times New Roman"/>
                <w:b/>
                <w:sz w:val="18"/>
              </w:rPr>
              <w:t xml:space="preserve"> based on data &amp; Applications): All scenarios received (2) motions by PEC members. </w:t>
            </w:r>
            <w:r w:rsidR="005C4D40" w:rsidRPr="005C4D40">
              <w:rPr>
                <w:rFonts w:ascii="Times New Roman" w:hAnsi="Times New Roman"/>
                <w:b/>
                <w:sz w:val="18"/>
                <w:u w:val="single"/>
              </w:rPr>
              <w:t xml:space="preserve">Beth Shinn abstained from Scenario </w:t>
            </w:r>
            <w:r w:rsidR="00F05E5F" w:rsidRPr="005C4D40">
              <w:rPr>
                <w:rFonts w:ascii="Times New Roman" w:hAnsi="Times New Roman"/>
                <w:b/>
                <w:sz w:val="18"/>
                <w:u w:val="single"/>
              </w:rPr>
              <w:t>recommendations</w:t>
            </w:r>
            <w:r w:rsidR="005C4D40" w:rsidRPr="005C4D40">
              <w:rPr>
                <w:rFonts w:ascii="Times New Roman" w:hAnsi="Times New Roman"/>
                <w:b/>
                <w:sz w:val="18"/>
                <w:u w:val="single"/>
              </w:rPr>
              <w:t xml:space="preserve"> as she is Governance Member and did not want to duplicate a vote. </w:t>
            </w:r>
          </w:p>
        </w:tc>
      </w:tr>
      <w:tr w:rsidR="000C7E9B" w:rsidRPr="00EC37E9" w:rsidTr="000C7E9B">
        <w:trPr>
          <w:trHeight w:val="496"/>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5052C5">
            <w:pPr>
              <w:pStyle w:val="AllCapsHeading"/>
              <w:rPr>
                <w:rFonts w:ascii="Times New Roman" w:hAnsi="Times New Roman"/>
                <w:color w:val="auto"/>
                <w:sz w:val="18"/>
                <w:szCs w:val="18"/>
              </w:rPr>
            </w:pPr>
            <w:r w:rsidRPr="000568D2">
              <w:rPr>
                <w:rFonts w:ascii="Times New Roman" w:hAnsi="Times New Roman"/>
                <w:color w:val="auto"/>
                <w:sz w:val="18"/>
                <w:szCs w:val="18"/>
              </w:rPr>
              <w:t>Conclusion</w:t>
            </w:r>
          </w:p>
        </w:tc>
        <w:tc>
          <w:tcPr>
            <w:tcW w:w="9457" w:type="dxa"/>
            <w:gridSpan w:val="9"/>
            <w:tcBorders>
              <w:top w:val="single" w:sz="12" w:space="0" w:color="999999"/>
              <w:left w:val="single" w:sz="4" w:space="0" w:color="C0C0C0"/>
              <w:bottom w:val="single" w:sz="4" w:space="0" w:color="C0C0C0"/>
              <w:right w:val="single" w:sz="4" w:space="0" w:color="C0C0C0"/>
            </w:tcBorders>
            <w:shd w:val="clear" w:color="auto" w:fill="auto"/>
            <w:vAlign w:val="bottom"/>
          </w:tcPr>
          <w:p w:rsidR="00BE6FBD" w:rsidRPr="008D3DC2" w:rsidRDefault="00137499" w:rsidP="008D3DC2">
            <w:pPr>
              <w:pStyle w:val="ListParagraph"/>
              <w:numPr>
                <w:ilvl w:val="0"/>
                <w:numId w:val="26"/>
              </w:numPr>
              <w:rPr>
                <w:rFonts w:ascii="Times New Roman" w:hAnsi="Times New Roman"/>
                <w:i/>
                <w:sz w:val="24"/>
                <w:szCs w:val="24"/>
                <w:highlight w:val="yellow"/>
              </w:rPr>
            </w:pPr>
            <w:r>
              <w:rPr>
                <w:rFonts w:ascii="Times New Roman" w:hAnsi="Times New Roman"/>
                <w:i/>
                <w:sz w:val="24"/>
                <w:szCs w:val="24"/>
                <w:highlight w:val="yellow"/>
              </w:rPr>
              <w:t>Motion</w:t>
            </w:r>
            <w:r w:rsidR="00833511" w:rsidRPr="008D3DC2">
              <w:rPr>
                <w:rFonts w:ascii="Times New Roman" w:hAnsi="Times New Roman"/>
                <w:i/>
                <w:sz w:val="24"/>
                <w:szCs w:val="24"/>
                <w:highlight w:val="yellow"/>
              </w:rPr>
              <w:t xml:space="preserve"> (1): Reallocate all unexpended funds from current projects that submitted renewal applications. These include the following: </w:t>
            </w:r>
          </w:p>
          <w:p w:rsidR="00833511" w:rsidRPr="008D3DC2" w:rsidRDefault="00833511" w:rsidP="00833511">
            <w:pPr>
              <w:pStyle w:val="ListParagraph"/>
              <w:numPr>
                <w:ilvl w:val="0"/>
                <w:numId w:val="27"/>
              </w:numPr>
              <w:rPr>
                <w:rFonts w:ascii="Times New Roman" w:hAnsi="Times New Roman"/>
                <w:color w:val="FF0000"/>
                <w:sz w:val="24"/>
                <w:szCs w:val="24"/>
                <w:u w:val="single"/>
              </w:rPr>
            </w:pPr>
            <w:r w:rsidRPr="008D3DC2">
              <w:rPr>
                <w:rFonts w:ascii="Times New Roman" w:hAnsi="Times New Roman"/>
                <w:sz w:val="24"/>
                <w:szCs w:val="24"/>
              </w:rPr>
              <w:t xml:space="preserve">YWCA RRH (1)-Total Left Unspent: </w:t>
            </w:r>
            <w:r w:rsidRPr="008D3DC2">
              <w:rPr>
                <w:rFonts w:ascii="Times New Roman" w:hAnsi="Times New Roman"/>
                <w:color w:val="FF0000"/>
                <w:sz w:val="24"/>
                <w:szCs w:val="24"/>
                <w:u w:val="single"/>
              </w:rPr>
              <w:t>$25,315.00</w:t>
            </w:r>
          </w:p>
          <w:p w:rsidR="00833511" w:rsidRPr="008D3DC2" w:rsidRDefault="00833511" w:rsidP="00833511">
            <w:pPr>
              <w:pStyle w:val="ListParagraph"/>
              <w:numPr>
                <w:ilvl w:val="0"/>
                <w:numId w:val="27"/>
              </w:numPr>
              <w:rPr>
                <w:rFonts w:ascii="Times New Roman" w:hAnsi="Times New Roman"/>
                <w:color w:val="403152" w:themeColor="accent4" w:themeShade="80"/>
                <w:sz w:val="24"/>
                <w:szCs w:val="24"/>
              </w:rPr>
            </w:pPr>
            <w:r w:rsidRPr="008D3DC2">
              <w:rPr>
                <w:rFonts w:ascii="Times New Roman" w:hAnsi="Times New Roman"/>
                <w:color w:val="403152" w:themeColor="accent4" w:themeShade="80"/>
                <w:sz w:val="24"/>
                <w:szCs w:val="24"/>
              </w:rPr>
              <w:t>YWCA RRH (2)-Total Left Unspent: $37,078.00 -****Recommended that the entire grant be reallocated as utilization rate was 25%</w:t>
            </w:r>
            <w:r w:rsidR="00137499">
              <w:rPr>
                <w:rFonts w:ascii="Times New Roman" w:hAnsi="Times New Roman"/>
                <w:color w:val="403152" w:themeColor="accent4" w:themeShade="80"/>
                <w:sz w:val="24"/>
                <w:szCs w:val="24"/>
              </w:rPr>
              <w:t xml:space="preserve"> wherein the first YWCA RRH (1)’s utilization rate was 75%</w:t>
            </w:r>
            <w:r w:rsidRPr="008D3DC2">
              <w:rPr>
                <w:rFonts w:ascii="Times New Roman" w:hAnsi="Times New Roman"/>
                <w:color w:val="403152" w:themeColor="accent4" w:themeShade="80"/>
                <w:sz w:val="24"/>
                <w:szCs w:val="24"/>
              </w:rPr>
              <w:t>.</w:t>
            </w:r>
            <w:r w:rsidR="00137499">
              <w:rPr>
                <w:rFonts w:ascii="Times New Roman" w:hAnsi="Times New Roman"/>
                <w:color w:val="403152" w:themeColor="accent4" w:themeShade="80"/>
                <w:sz w:val="24"/>
                <w:szCs w:val="24"/>
              </w:rPr>
              <w:t xml:space="preserve"> (Utilization rate is based on total served divided by proposed total served in previous application.)</w:t>
            </w:r>
            <w:r w:rsidRPr="008D3DC2">
              <w:rPr>
                <w:rFonts w:ascii="Times New Roman" w:hAnsi="Times New Roman"/>
                <w:color w:val="403152" w:themeColor="accent4" w:themeShade="80"/>
                <w:sz w:val="24"/>
                <w:szCs w:val="24"/>
              </w:rPr>
              <w:t xml:space="preserve"> The total households served in this grant could be covered in the first grant if this amount </w:t>
            </w:r>
            <w:r w:rsidR="00137499">
              <w:rPr>
                <w:rFonts w:ascii="Times New Roman" w:hAnsi="Times New Roman"/>
                <w:color w:val="403152" w:themeColor="accent4" w:themeShade="80"/>
                <w:sz w:val="24"/>
                <w:szCs w:val="24"/>
              </w:rPr>
              <w:t>was</w:t>
            </w:r>
            <w:r w:rsidRPr="008D3DC2">
              <w:rPr>
                <w:rFonts w:ascii="Times New Roman" w:hAnsi="Times New Roman"/>
                <w:color w:val="403152" w:themeColor="accent4" w:themeShade="80"/>
                <w:sz w:val="24"/>
                <w:szCs w:val="24"/>
              </w:rPr>
              <w:t xml:space="preserve"> reallocated. </w:t>
            </w:r>
          </w:p>
          <w:p w:rsidR="00833511" w:rsidRPr="008D3DC2" w:rsidRDefault="00833511" w:rsidP="00833511">
            <w:pPr>
              <w:pStyle w:val="ListParagraph"/>
              <w:numPr>
                <w:ilvl w:val="0"/>
                <w:numId w:val="27"/>
              </w:numPr>
              <w:rPr>
                <w:rFonts w:ascii="Times New Roman" w:hAnsi="Times New Roman"/>
                <w:sz w:val="24"/>
                <w:szCs w:val="24"/>
              </w:rPr>
            </w:pPr>
            <w:r w:rsidRPr="008D3DC2">
              <w:rPr>
                <w:rFonts w:ascii="Times New Roman" w:hAnsi="Times New Roman"/>
                <w:color w:val="403152" w:themeColor="accent4" w:themeShade="80"/>
                <w:sz w:val="24"/>
                <w:szCs w:val="24"/>
              </w:rPr>
              <w:t xml:space="preserve">YWCA RRH (2)-If reallocating total amount: </w:t>
            </w:r>
            <w:r w:rsidRPr="008D3DC2">
              <w:rPr>
                <w:rFonts w:ascii="Times New Roman" w:hAnsi="Times New Roman"/>
                <w:color w:val="FF0000"/>
                <w:sz w:val="24"/>
                <w:szCs w:val="24"/>
                <w:u w:val="single"/>
              </w:rPr>
              <w:t>$53,018.00.</w:t>
            </w:r>
            <w:r w:rsidRPr="008D3DC2">
              <w:rPr>
                <w:rFonts w:ascii="Times New Roman" w:hAnsi="Times New Roman"/>
                <w:color w:val="FF0000"/>
                <w:sz w:val="24"/>
                <w:szCs w:val="24"/>
              </w:rPr>
              <w:t xml:space="preserve"> </w:t>
            </w:r>
          </w:p>
          <w:p w:rsidR="00833511" w:rsidRPr="00DE67B3" w:rsidRDefault="00833511" w:rsidP="00833511">
            <w:pPr>
              <w:pStyle w:val="ListParagraph"/>
              <w:numPr>
                <w:ilvl w:val="0"/>
                <w:numId w:val="27"/>
              </w:numPr>
              <w:rPr>
                <w:rFonts w:ascii="Times New Roman" w:hAnsi="Times New Roman"/>
                <w:sz w:val="24"/>
                <w:szCs w:val="24"/>
              </w:rPr>
            </w:pPr>
            <w:r w:rsidRPr="008D3DC2">
              <w:rPr>
                <w:rFonts w:ascii="Times New Roman" w:hAnsi="Times New Roman"/>
                <w:color w:val="403152" w:themeColor="accent4" w:themeShade="80"/>
                <w:sz w:val="24"/>
                <w:szCs w:val="24"/>
              </w:rPr>
              <w:t>Shelter Plus Care with Park Center:</w:t>
            </w:r>
            <w:r w:rsidRPr="008D3DC2">
              <w:rPr>
                <w:rFonts w:ascii="Times New Roman" w:hAnsi="Times New Roman"/>
                <w:sz w:val="24"/>
                <w:szCs w:val="24"/>
              </w:rPr>
              <w:t xml:space="preserve"> </w:t>
            </w:r>
            <w:r w:rsidRPr="008D3DC2">
              <w:rPr>
                <w:rFonts w:ascii="Times New Roman" w:hAnsi="Times New Roman"/>
                <w:color w:val="FF0000"/>
                <w:sz w:val="24"/>
                <w:szCs w:val="24"/>
                <w:u w:val="single"/>
              </w:rPr>
              <w:t>$15,566.90</w:t>
            </w:r>
          </w:p>
          <w:p w:rsidR="00DE67B3" w:rsidRPr="00701C68" w:rsidRDefault="00DE67B3" w:rsidP="00833511">
            <w:pPr>
              <w:pStyle w:val="ListParagraph"/>
              <w:numPr>
                <w:ilvl w:val="0"/>
                <w:numId w:val="27"/>
              </w:numPr>
              <w:rPr>
                <w:rFonts w:ascii="Times New Roman" w:hAnsi="Times New Roman"/>
                <w:b/>
                <w:color w:val="0070C0"/>
                <w:sz w:val="24"/>
                <w:szCs w:val="24"/>
              </w:rPr>
            </w:pPr>
            <w:r w:rsidRPr="00701C68">
              <w:rPr>
                <w:rFonts w:ascii="Times New Roman" w:hAnsi="Times New Roman"/>
                <w:b/>
                <w:color w:val="0070C0"/>
                <w:sz w:val="24"/>
                <w:szCs w:val="24"/>
              </w:rPr>
              <w:t>Reallocate funds to projects that applied for reallocation through new applications. Listed below are the three projects who applied for reallocation of their own funds. This leaves one project: Coordinated Entry System (CES) with Safe Haven Family She</w:t>
            </w:r>
            <w:bookmarkStart w:id="7" w:name="_GoBack"/>
            <w:bookmarkEnd w:id="7"/>
            <w:r w:rsidRPr="00701C68">
              <w:rPr>
                <w:rFonts w:ascii="Times New Roman" w:hAnsi="Times New Roman"/>
                <w:b/>
                <w:color w:val="0070C0"/>
                <w:sz w:val="24"/>
                <w:szCs w:val="24"/>
              </w:rPr>
              <w:t xml:space="preserve">lter as the applicant to consider </w:t>
            </w:r>
            <w:r w:rsidR="00701C68" w:rsidRPr="00701C68">
              <w:rPr>
                <w:rFonts w:ascii="Times New Roman" w:hAnsi="Times New Roman"/>
                <w:b/>
                <w:color w:val="0070C0"/>
                <w:sz w:val="24"/>
                <w:szCs w:val="24"/>
              </w:rPr>
              <w:t xml:space="preserve">for the reallocated </w:t>
            </w:r>
            <w:r w:rsidRPr="00701C68">
              <w:rPr>
                <w:rFonts w:ascii="Times New Roman" w:hAnsi="Times New Roman"/>
                <w:b/>
                <w:color w:val="0070C0"/>
                <w:sz w:val="24"/>
                <w:szCs w:val="24"/>
              </w:rPr>
              <w:t>funding. (Bonus dollars are separate.)</w:t>
            </w:r>
          </w:p>
          <w:p w:rsidR="00833511" w:rsidRPr="008D3DC2" w:rsidRDefault="00137499" w:rsidP="00833511">
            <w:pPr>
              <w:pStyle w:val="ListParagraph"/>
              <w:numPr>
                <w:ilvl w:val="0"/>
                <w:numId w:val="26"/>
              </w:numPr>
              <w:rPr>
                <w:rFonts w:ascii="Times New Roman" w:hAnsi="Times New Roman"/>
                <w:i/>
                <w:sz w:val="24"/>
                <w:szCs w:val="24"/>
                <w:highlight w:val="yellow"/>
              </w:rPr>
            </w:pPr>
            <w:r>
              <w:rPr>
                <w:rFonts w:ascii="Times New Roman" w:hAnsi="Times New Roman"/>
                <w:i/>
                <w:sz w:val="24"/>
                <w:szCs w:val="24"/>
                <w:highlight w:val="yellow"/>
              </w:rPr>
              <w:t>Motion</w:t>
            </w:r>
            <w:r w:rsidR="00833511" w:rsidRPr="008D3DC2">
              <w:rPr>
                <w:rFonts w:ascii="Times New Roman" w:hAnsi="Times New Roman"/>
                <w:i/>
                <w:sz w:val="24"/>
                <w:szCs w:val="24"/>
                <w:highlight w:val="yellow"/>
              </w:rPr>
              <w:t xml:space="preserve"> (2): Youth is a priority population for this year’s competition and is receiving both national and local attention from technical assistance providers and major organizations. Oasis submitted a Bonus Project proposing a RRH project to serve (14) Youth. Place this project in TEIR I as a community priority. The total requested is $29,650.00.</w:t>
            </w:r>
          </w:p>
          <w:p w:rsidR="00833511" w:rsidRPr="008D3DC2" w:rsidRDefault="00137499" w:rsidP="00833511">
            <w:pPr>
              <w:pStyle w:val="ListParagraph"/>
              <w:numPr>
                <w:ilvl w:val="0"/>
                <w:numId w:val="26"/>
              </w:numPr>
              <w:rPr>
                <w:rFonts w:ascii="Times New Roman" w:hAnsi="Times New Roman"/>
                <w:i/>
                <w:sz w:val="24"/>
                <w:szCs w:val="24"/>
                <w:highlight w:val="yellow"/>
              </w:rPr>
            </w:pPr>
            <w:r>
              <w:rPr>
                <w:rFonts w:ascii="Times New Roman" w:hAnsi="Times New Roman"/>
                <w:i/>
                <w:sz w:val="24"/>
                <w:szCs w:val="24"/>
                <w:highlight w:val="yellow"/>
              </w:rPr>
              <w:t>Motion</w:t>
            </w:r>
            <w:r w:rsidR="00833511" w:rsidRPr="008D3DC2">
              <w:rPr>
                <w:rFonts w:ascii="Times New Roman" w:hAnsi="Times New Roman"/>
                <w:i/>
                <w:sz w:val="24"/>
                <w:szCs w:val="24"/>
                <w:highlight w:val="yellow"/>
              </w:rPr>
              <w:t xml:space="preserve"> (3)</w:t>
            </w:r>
            <w:r w:rsidR="008D3DC2" w:rsidRPr="008D3DC2">
              <w:rPr>
                <w:rFonts w:ascii="Times New Roman" w:hAnsi="Times New Roman"/>
                <w:i/>
                <w:sz w:val="24"/>
                <w:szCs w:val="24"/>
                <w:highlight w:val="yellow"/>
              </w:rPr>
              <w:t xml:space="preserve">: Place all Transitional Housing Projects in Tier II. This includes the following agencies: </w:t>
            </w:r>
          </w:p>
          <w:p w:rsidR="008D3DC2" w:rsidRPr="008D3DC2" w:rsidRDefault="008D3DC2" w:rsidP="008D3DC2">
            <w:pPr>
              <w:pStyle w:val="ListParagraph"/>
              <w:numPr>
                <w:ilvl w:val="0"/>
                <w:numId w:val="28"/>
              </w:numPr>
              <w:rPr>
                <w:rFonts w:ascii="Times New Roman" w:hAnsi="Times New Roman"/>
                <w:sz w:val="24"/>
                <w:szCs w:val="24"/>
              </w:rPr>
            </w:pPr>
            <w:r w:rsidRPr="008D3DC2">
              <w:rPr>
                <w:rFonts w:ascii="Times New Roman" w:hAnsi="Times New Roman"/>
                <w:sz w:val="24"/>
                <w:szCs w:val="24"/>
              </w:rPr>
              <w:t xml:space="preserve">Welcome Home Ministries: Granada Transitional Housing: </w:t>
            </w:r>
            <w:r w:rsidRPr="008D3DC2">
              <w:rPr>
                <w:rFonts w:ascii="Times New Roman" w:hAnsi="Times New Roman"/>
                <w:color w:val="FF0000"/>
                <w:sz w:val="24"/>
                <w:szCs w:val="24"/>
              </w:rPr>
              <w:t>$15,862.00</w:t>
            </w:r>
          </w:p>
          <w:p w:rsidR="008D3DC2" w:rsidRPr="008D3DC2" w:rsidRDefault="008D3DC2" w:rsidP="008D3DC2">
            <w:pPr>
              <w:pStyle w:val="ListParagraph"/>
              <w:numPr>
                <w:ilvl w:val="0"/>
                <w:numId w:val="28"/>
              </w:numPr>
              <w:rPr>
                <w:rFonts w:ascii="Times New Roman" w:hAnsi="Times New Roman"/>
                <w:sz w:val="24"/>
                <w:szCs w:val="24"/>
              </w:rPr>
            </w:pPr>
            <w:r w:rsidRPr="008D3DC2">
              <w:rPr>
                <w:rFonts w:ascii="Times New Roman" w:hAnsi="Times New Roman"/>
                <w:sz w:val="24"/>
                <w:szCs w:val="24"/>
              </w:rPr>
              <w:t xml:space="preserve">The Salvation Army: Transitional Housing Program: </w:t>
            </w:r>
            <w:r w:rsidRPr="008D3DC2">
              <w:rPr>
                <w:rFonts w:ascii="Times New Roman" w:hAnsi="Times New Roman"/>
                <w:color w:val="FF0000"/>
                <w:sz w:val="24"/>
                <w:szCs w:val="24"/>
              </w:rPr>
              <w:t>$156,000.00</w:t>
            </w:r>
          </w:p>
          <w:p w:rsidR="008D3DC2" w:rsidRPr="00F05E5F" w:rsidRDefault="008D3DC2" w:rsidP="008D3DC2">
            <w:pPr>
              <w:pStyle w:val="ListParagraph"/>
              <w:numPr>
                <w:ilvl w:val="0"/>
                <w:numId w:val="28"/>
              </w:numPr>
              <w:rPr>
                <w:rFonts w:ascii="Times New Roman" w:hAnsi="Times New Roman"/>
                <w:i/>
                <w:sz w:val="24"/>
                <w:szCs w:val="24"/>
              </w:rPr>
            </w:pPr>
            <w:r w:rsidRPr="008D3DC2">
              <w:rPr>
                <w:rFonts w:ascii="Times New Roman" w:hAnsi="Times New Roman"/>
                <w:sz w:val="24"/>
                <w:szCs w:val="24"/>
              </w:rPr>
              <w:lastRenderedPageBreak/>
              <w:t>The Mary Parrish Center: Trans</w:t>
            </w:r>
            <w:r w:rsidR="00F05E5F">
              <w:rPr>
                <w:rFonts w:ascii="Times New Roman" w:hAnsi="Times New Roman"/>
                <w:sz w:val="24"/>
                <w:szCs w:val="24"/>
              </w:rPr>
              <w:t>i</w:t>
            </w:r>
            <w:r w:rsidRPr="008D3DC2">
              <w:rPr>
                <w:rFonts w:ascii="Times New Roman" w:hAnsi="Times New Roman"/>
                <w:sz w:val="24"/>
                <w:szCs w:val="24"/>
              </w:rPr>
              <w:t xml:space="preserve">tional Housing Program: </w:t>
            </w:r>
            <w:r w:rsidRPr="008D3DC2">
              <w:rPr>
                <w:rFonts w:ascii="Times New Roman" w:hAnsi="Times New Roman"/>
                <w:color w:val="FF0000"/>
                <w:sz w:val="24"/>
                <w:szCs w:val="24"/>
              </w:rPr>
              <w:t>$23,688.00</w:t>
            </w:r>
          </w:p>
          <w:p w:rsidR="00F05E5F" w:rsidRPr="008D3DC2" w:rsidRDefault="00F05E5F" w:rsidP="008D3DC2">
            <w:pPr>
              <w:pStyle w:val="ListParagraph"/>
              <w:numPr>
                <w:ilvl w:val="0"/>
                <w:numId w:val="28"/>
              </w:numPr>
              <w:rPr>
                <w:rFonts w:ascii="Times New Roman" w:hAnsi="Times New Roman"/>
                <w:i/>
                <w:sz w:val="24"/>
                <w:szCs w:val="24"/>
              </w:rPr>
            </w:pPr>
            <w:r>
              <w:rPr>
                <w:rFonts w:ascii="Times New Roman" w:hAnsi="Times New Roman"/>
                <w:color w:val="FF0000"/>
                <w:sz w:val="24"/>
                <w:szCs w:val="24"/>
              </w:rPr>
              <w:t xml:space="preserve">Matthew (25): Progressive Housing: Permanent Supportive Housing Program in which data mirrors Transitional Housing. In addition, inaccuracies were found in the application that conflict with responses. Tier II placement. </w:t>
            </w:r>
          </w:p>
          <w:p w:rsidR="008D3DC2" w:rsidRPr="008D3DC2" w:rsidRDefault="00483F62" w:rsidP="008D3DC2">
            <w:pPr>
              <w:pStyle w:val="ListParagraph"/>
              <w:numPr>
                <w:ilvl w:val="0"/>
                <w:numId w:val="26"/>
              </w:numPr>
              <w:rPr>
                <w:rFonts w:ascii="Times New Roman" w:hAnsi="Times New Roman"/>
                <w:i/>
                <w:sz w:val="24"/>
                <w:szCs w:val="24"/>
                <w:highlight w:val="yellow"/>
              </w:rPr>
            </w:pPr>
            <w:r>
              <w:rPr>
                <w:rFonts w:ascii="Times New Roman" w:hAnsi="Times New Roman"/>
                <w:i/>
                <w:sz w:val="24"/>
                <w:szCs w:val="24"/>
                <w:highlight w:val="yellow"/>
              </w:rPr>
              <w:t>Motion</w:t>
            </w:r>
            <w:r w:rsidR="008D3DC2" w:rsidRPr="008D3DC2">
              <w:rPr>
                <w:rFonts w:ascii="Times New Roman" w:hAnsi="Times New Roman"/>
                <w:i/>
                <w:sz w:val="24"/>
                <w:szCs w:val="24"/>
                <w:highlight w:val="yellow"/>
              </w:rPr>
              <w:t xml:space="preserve"> (4): Agencies who submitted their own renewal amounts for reallocation to HUD eligible projects be awarded these projects and placed in Tier (1). The following agencies include: </w:t>
            </w:r>
          </w:p>
          <w:p w:rsidR="008D3DC2" w:rsidRPr="008D3DC2" w:rsidRDefault="008D3DC2" w:rsidP="008D3DC2">
            <w:pPr>
              <w:pStyle w:val="ListParagraph"/>
              <w:numPr>
                <w:ilvl w:val="0"/>
                <w:numId w:val="29"/>
              </w:numPr>
              <w:rPr>
                <w:rFonts w:ascii="Times New Roman" w:hAnsi="Times New Roman"/>
                <w:i/>
                <w:sz w:val="24"/>
                <w:szCs w:val="24"/>
              </w:rPr>
            </w:pPr>
            <w:r w:rsidRPr="008D3DC2">
              <w:rPr>
                <w:rFonts w:ascii="Times New Roman" w:hAnsi="Times New Roman"/>
                <w:i/>
                <w:sz w:val="24"/>
                <w:szCs w:val="24"/>
              </w:rPr>
              <w:t>Safe Haven Family Shelter: (2) Transitional Housing Programs proposed as new (1) RRH project.</w:t>
            </w:r>
          </w:p>
          <w:p w:rsidR="008D3DC2" w:rsidRPr="008D3DC2" w:rsidRDefault="008D3DC2" w:rsidP="008D3DC2">
            <w:pPr>
              <w:pStyle w:val="ListParagraph"/>
              <w:numPr>
                <w:ilvl w:val="0"/>
                <w:numId w:val="29"/>
              </w:numPr>
              <w:rPr>
                <w:rFonts w:ascii="Times New Roman" w:hAnsi="Times New Roman"/>
                <w:i/>
                <w:sz w:val="24"/>
                <w:szCs w:val="24"/>
              </w:rPr>
            </w:pPr>
            <w:r w:rsidRPr="008D3DC2">
              <w:rPr>
                <w:rFonts w:ascii="Times New Roman" w:hAnsi="Times New Roman"/>
                <w:i/>
                <w:sz w:val="24"/>
                <w:szCs w:val="24"/>
              </w:rPr>
              <w:t xml:space="preserve">Aphesis House: Operation Excel (1) Transitional Housing program proposed as new (1) PSH Project. </w:t>
            </w:r>
          </w:p>
          <w:p w:rsidR="008D3DC2" w:rsidRPr="008D3DC2" w:rsidRDefault="008D3DC2" w:rsidP="008D3DC2">
            <w:pPr>
              <w:pStyle w:val="ListParagraph"/>
              <w:numPr>
                <w:ilvl w:val="0"/>
                <w:numId w:val="29"/>
              </w:numPr>
              <w:rPr>
                <w:rFonts w:ascii="Times New Roman" w:hAnsi="Times New Roman"/>
                <w:i/>
                <w:sz w:val="24"/>
                <w:szCs w:val="24"/>
              </w:rPr>
            </w:pPr>
            <w:r w:rsidRPr="008D3DC2">
              <w:rPr>
                <w:rFonts w:ascii="Times New Roman" w:hAnsi="Times New Roman"/>
                <w:i/>
                <w:sz w:val="24"/>
                <w:szCs w:val="24"/>
              </w:rPr>
              <w:t>Operation Stand Down T</w:t>
            </w:r>
            <w:r w:rsidR="00F05E5F">
              <w:rPr>
                <w:rFonts w:ascii="Times New Roman" w:hAnsi="Times New Roman"/>
                <w:i/>
                <w:sz w:val="24"/>
                <w:szCs w:val="24"/>
              </w:rPr>
              <w:t>enn</w:t>
            </w:r>
            <w:r w:rsidRPr="008D3DC2">
              <w:rPr>
                <w:rFonts w:ascii="Times New Roman" w:hAnsi="Times New Roman"/>
                <w:i/>
                <w:sz w:val="24"/>
                <w:szCs w:val="24"/>
              </w:rPr>
              <w:t xml:space="preserve">essee: Supportive Services Only project proposed as a new collaborative effort in partnership with (4) other agencies as a Coordinated Entry System Project. </w:t>
            </w:r>
          </w:p>
          <w:p w:rsidR="008D3DC2" w:rsidRPr="008D3DC2" w:rsidRDefault="00483F62" w:rsidP="008D3DC2">
            <w:pPr>
              <w:pStyle w:val="ListParagraph"/>
              <w:numPr>
                <w:ilvl w:val="0"/>
                <w:numId w:val="26"/>
              </w:numPr>
              <w:rPr>
                <w:rFonts w:ascii="Times New Roman" w:hAnsi="Times New Roman"/>
                <w:i/>
                <w:sz w:val="24"/>
                <w:szCs w:val="24"/>
                <w:highlight w:val="yellow"/>
              </w:rPr>
            </w:pPr>
            <w:r>
              <w:rPr>
                <w:rFonts w:ascii="Times New Roman" w:hAnsi="Times New Roman"/>
                <w:i/>
                <w:sz w:val="24"/>
                <w:szCs w:val="24"/>
                <w:highlight w:val="yellow"/>
              </w:rPr>
              <w:t>Motion</w:t>
            </w:r>
            <w:r w:rsidR="008D3DC2" w:rsidRPr="008D3DC2">
              <w:rPr>
                <w:rFonts w:ascii="Times New Roman" w:hAnsi="Times New Roman"/>
                <w:i/>
                <w:sz w:val="24"/>
                <w:szCs w:val="24"/>
                <w:highlight w:val="yellow"/>
              </w:rPr>
              <w:t xml:space="preserve"> (5): Bonus Project Tie Breakers: (3) Bonus Projects were submitted in the year’s competition. The following order of priority was suggested. </w:t>
            </w:r>
          </w:p>
          <w:p w:rsidR="008D3DC2" w:rsidRPr="008D3DC2" w:rsidRDefault="008D3DC2" w:rsidP="008D3DC2">
            <w:pPr>
              <w:ind w:left="360"/>
              <w:rPr>
                <w:rFonts w:ascii="Times New Roman" w:hAnsi="Times New Roman"/>
                <w:i/>
                <w:sz w:val="24"/>
                <w:szCs w:val="24"/>
              </w:rPr>
            </w:pPr>
          </w:p>
          <w:p w:rsidR="008D3DC2" w:rsidRPr="008D3DC2" w:rsidRDefault="008D3DC2" w:rsidP="008D3DC2">
            <w:pPr>
              <w:pStyle w:val="ListParagraph"/>
              <w:numPr>
                <w:ilvl w:val="0"/>
                <w:numId w:val="30"/>
              </w:numPr>
              <w:rPr>
                <w:rFonts w:ascii="Times New Roman" w:hAnsi="Times New Roman"/>
                <w:sz w:val="24"/>
                <w:szCs w:val="24"/>
              </w:rPr>
            </w:pPr>
            <w:r w:rsidRPr="008D3DC2">
              <w:rPr>
                <w:rFonts w:ascii="Times New Roman" w:hAnsi="Times New Roman"/>
                <w:sz w:val="24"/>
                <w:szCs w:val="24"/>
              </w:rPr>
              <w:t xml:space="preserve">Youth </w:t>
            </w:r>
            <w:r w:rsidR="00F05E5F" w:rsidRPr="008D3DC2">
              <w:rPr>
                <w:rFonts w:ascii="Times New Roman" w:hAnsi="Times New Roman"/>
                <w:sz w:val="24"/>
                <w:szCs w:val="24"/>
              </w:rPr>
              <w:t>are</w:t>
            </w:r>
            <w:r w:rsidRPr="008D3DC2">
              <w:rPr>
                <w:rFonts w:ascii="Times New Roman" w:hAnsi="Times New Roman"/>
                <w:sz w:val="24"/>
                <w:szCs w:val="24"/>
              </w:rPr>
              <w:t xml:space="preserve"> prioritized as first to fund out of the three. In the event there is a tie between the remaining two projects, use the following to determine priority: </w:t>
            </w:r>
          </w:p>
          <w:p w:rsidR="008D3DC2" w:rsidRPr="008D3DC2" w:rsidRDefault="008D3DC2" w:rsidP="008D3DC2">
            <w:pPr>
              <w:pStyle w:val="ListParagraph"/>
              <w:numPr>
                <w:ilvl w:val="0"/>
                <w:numId w:val="30"/>
              </w:numPr>
              <w:rPr>
                <w:rFonts w:ascii="Times New Roman" w:hAnsi="Times New Roman"/>
                <w:sz w:val="24"/>
                <w:szCs w:val="24"/>
              </w:rPr>
            </w:pPr>
            <w:r w:rsidRPr="008D3DC2">
              <w:rPr>
                <w:rFonts w:ascii="Times New Roman" w:hAnsi="Times New Roman"/>
                <w:sz w:val="24"/>
                <w:szCs w:val="24"/>
              </w:rPr>
              <w:t xml:space="preserve">Score: Adjusted based on PEC recommendations and to align more objectively with data points. </w:t>
            </w:r>
          </w:p>
          <w:p w:rsidR="008D3DC2" w:rsidRDefault="008D3DC2" w:rsidP="008D3DC2">
            <w:pPr>
              <w:pStyle w:val="ListParagraph"/>
              <w:numPr>
                <w:ilvl w:val="0"/>
                <w:numId w:val="30"/>
              </w:numPr>
              <w:rPr>
                <w:rFonts w:ascii="Times New Roman" w:hAnsi="Times New Roman"/>
                <w:i/>
                <w:sz w:val="18"/>
              </w:rPr>
            </w:pPr>
            <w:r w:rsidRPr="008D3DC2">
              <w:rPr>
                <w:rFonts w:ascii="Times New Roman" w:hAnsi="Times New Roman"/>
                <w:sz w:val="24"/>
                <w:szCs w:val="24"/>
              </w:rPr>
              <w:t xml:space="preserve">If score remains the same, rank by cost-effectiveness. (Whichever program </w:t>
            </w:r>
            <w:r w:rsidR="00137499">
              <w:rPr>
                <w:rFonts w:ascii="Times New Roman" w:hAnsi="Times New Roman"/>
                <w:sz w:val="24"/>
                <w:szCs w:val="24"/>
              </w:rPr>
              <w:t>h</w:t>
            </w:r>
            <w:r w:rsidRPr="008D3DC2">
              <w:rPr>
                <w:rFonts w:ascii="Times New Roman" w:hAnsi="Times New Roman"/>
                <w:sz w:val="24"/>
                <w:szCs w:val="24"/>
              </w:rPr>
              <w:t>as a lower cost per household based on proposed served should take priority.)</w:t>
            </w:r>
            <w:r>
              <w:rPr>
                <w:rFonts w:ascii="Times New Roman" w:hAnsi="Times New Roman"/>
                <w:i/>
                <w:sz w:val="18"/>
              </w:rPr>
              <w:t xml:space="preserve"> </w:t>
            </w:r>
          </w:p>
          <w:p w:rsidR="00137499" w:rsidRPr="00137499" w:rsidRDefault="00483F62" w:rsidP="00137499">
            <w:pPr>
              <w:pStyle w:val="ListParagraph"/>
              <w:numPr>
                <w:ilvl w:val="0"/>
                <w:numId w:val="26"/>
              </w:numPr>
              <w:rPr>
                <w:rFonts w:ascii="Times New Roman" w:hAnsi="Times New Roman"/>
                <w:sz w:val="18"/>
              </w:rPr>
            </w:pPr>
            <w:r>
              <w:rPr>
                <w:rFonts w:ascii="Times New Roman" w:hAnsi="Times New Roman"/>
                <w:sz w:val="22"/>
                <w:highlight w:val="yellow"/>
              </w:rPr>
              <w:t>Motion</w:t>
            </w:r>
            <w:r w:rsidR="00137499" w:rsidRPr="00137499">
              <w:rPr>
                <w:rFonts w:ascii="Times New Roman" w:hAnsi="Times New Roman"/>
                <w:sz w:val="22"/>
                <w:highlight w:val="yellow"/>
              </w:rPr>
              <w:t xml:space="preserve"> (6): Place HMIS Project as (1) in Tier I on Final Ranking.</w:t>
            </w:r>
            <w:r w:rsidR="00137499" w:rsidRPr="00137499">
              <w:rPr>
                <w:rFonts w:ascii="Times New Roman" w:hAnsi="Times New Roman"/>
                <w:sz w:val="22"/>
              </w:rPr>
              <w:t xml:space="preserve"> </w:t>
            </w:r>
          </w:p>
        </w:tc>
      </w:tr>
      <w:tr w:rsidR="000C7E9B" w:rsidRPr="00EC37E9" w:rsidTr="00583181">
        <w:trPr>
          <w:trHeight w:hRule="exact" w:val="115"/>
          <w:jc w:val="center"/>
        </w:trPr>
        <w:tc>
          <w:tcPr>
            <w:tcW w:w="7333" w:type="dxa"/>
            <w:gridSpan w:val="6"/>
            <w:tcBorders>
              <w:top w:val="single" w:sz="4" w:space="0" w:color="C0C0C0"/>
            </w:tcBorders>
            <w:shd w:val="clear" w:color="auto" w:fill="auto"/>
            <w:vAlign w:val="center"/>
          </w:tcPr>
          <w:p w:rsidR="000C7E9B" w:rsidRPr="000568D2" w:rsidRDefault="000C7E9B" w:rsidP="005052C5">
            <w:pPr>
              <w:rPr>
                <w:rFonts w:ascii="Times New Roman" w:hAnsi="Times New Roman"/>
                <w:sz w:val="18"/>
              </w:rPr>
            </w:pPr>
          </w:p>
          <w:p w:rsidR="000C7E9B" w:rsidRPr="000568D2" w:rsidRDefault="000C7E9B" w:rsidP="005052C5">
            <w:pPr>
              <w:rPr>
                <w:rFonts w:ascii="Times New Roman" w:hAnsi="Times New Roman"/>
                <w:sz w:val="18"/>
              </w:rPr>
            </w:pPr>
          </w:p>
          <w:p w:rsidR="000C7E9B" w:rsidRPr="000568D2" w:rsidRDefault="000C7E9B" w:rsidP="005052C5">
            <w:pPr>
              <w:rPr>
                <w:rFonts w:ascii="Times New Roman" w:hAnsi="Times New Roman"/>
                <w:sz w:val="18"/>
              </w:rPr>
            </w:pPr>
          </w:p>
          <w:p w:rsidR="000C7E9B" w:rsidRPr="000568D2" w:rsidRDefault="000C7E9B" w:rsidP="005052C5">
            <w:pPr>
              <w:rPr>
                <w:rFonts w:ascii="Times New Roman" w:hAnsi="Times New Roman"/>
                <w:sz w:val="18"/>
              </w:rPr>
            </w:pPr>
          </w:p>
        </w:tc>
        <w:tc>
          <w:tcPr>
            <w:tcW w:w="2514" w:type="dxa"/>
            <w:gridSpan w:val="2"/>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p>
        </w:tc>
        <w:tc>
          <w:tcPr>
            <w:tcW w:w="1363" w:type="dxa"/>
            <w:gridSpan w:val="2"/>
            <w:tcBorders>
              <w:top w:val="single" w:sz="4" w:space="0" w:color="C0C0C0"/>
            </w:tcBorders>
            <w:shd w:val="clear" w:color="auto" w:fill="auto"/>
            <w:vAlign w:val="center"/>
          </w:tcPr>
          <w:p w:rsidR="000C7E9B" w:rsidRPr="00EC37E9" w:rsidRDefault="000C7E9B" w:rsidP="005052C5">
            <w:pPr>
              <w:rPr>
                <w:rFonts w:ascii="Times New Roman" w:hAnsi="Times New Roman"/>
                <w:sz w:val="18"/>
              </w:rPr>
            </w:pPr>
          </w:p>
        </w:tc>
      </w:tr>
      <w:tr w:rsidR="000C7E9B" w:rsidRPr="00EC37E9" w:rsidTr="00FF29E5">
        <w:tblPrEx>
          <w:tblBorders>
            <w:bottom w:val="single" w:sz="12" w:space="0" w:color="999999"/>
          </w:tblBorders>
        </w:tblPrEx>
        <w:trPr>
          <w:gridAfter w:val="1"/>
          <w:wAfter w:w="7" w:type="dxa"/>
          <w:trHeight w:val="360"/>
          <w:jc w:val="center"/>
        </w:trPr>
        <w:tc>
          <w:tcPr>
            <w:tcW w:w="3733" w:type="dxa"/>
            <w:gridSpan w:val="3"/>
            <w:tcBorders>
              <w:top w:val="nil"/>
            </w:tcBorders>
            <w:shd w:val="clear" w:color="auto" w:fill="auto"/>
            <w:tcMar>
              <w:left w:w="0" w:type="dxa"/>
            </w:tcMar>
            <w:vAlign w:val="center"/>
          </w:tcPr>
          <w:p w:rsidR="000C7E9B" w:rsidRPr="000568D2" w:rsidRDefault="008D3DC2" w:rsidP="00E46498">
            <w:pPr>
              <w:pStyle w:val="Heading4"/>
              <w:framePr w:hSpace="0" w:wrap="auto" w:vAnchor="margin" w:hAnchor="text" w:xAlign="left" w:yAlign="inline"/>
              <w:numPr>
                <w:ilvl w:val="0"/>
                <w:numId w:val="1"/>
              </w:numPr>
              <w:suppressOverlap w:val="0"/>
              <w:rPr>
                <w:rFonts w:ascii="Times New Roman" w:hAnsi="Times New Roman"/>
                <w:sz w:val="18"/>
                <w:szCs w:val="18"/>
              </w:rPr>
            </w:pPr>
            <w:r>
              <w:rPr>
                <w:rFonts w:ascii="Times New Roman" w:hAnsi="Times New Roman"/>
                <w:sz w:val="18"/>
                <w:szCs w:val="18"/>
              </w:rPr>
              <w:t xml:space="preserve">PEC Scoring motions: </w:t>
            </w:r>
          </w:p>
        </w:tc>
        <w:tc>
          <w:tcPr>
            <w:tcW w:w="3281" w:type="dxa"/>
            <w:gridSpan w:val="2"/>
            <w:tcBorders>
              <w:top w:val="nil"/>
            </w:tcBorders>
            <w:shd w:val="clear" w:color="auto" w:fill="auto"/>
            <w:tcMar>
              <w:left w:w="0" w:type="dxa"/>
            </w:tcMar>
            <w:vAlign w:val="center"/>
          </w:tcPr>
          <w:p w:rsidR="000C7E9B" w:rsidRPr="000568D2" w:rsidRDefault="005840FB" w:rsidP="005840FB">
            <w:pPr>
              <w:pStyle w:val="Heading4"/>
              <w:framePr w:hSpace="0" w:wrap="auto" w:vAnchor="margin" w:hAnchor="text" w:xAlign="left" w:yAlign="inline"/>
              <w:suppressOverlap w:val="0"/>
              <w:rPr>
                <w:rFonts w:ascii="Times New Roman" w:hAnsi="Times New Roman"/>
                <w:sz w:val="18"/>
                <w:szCs w:val="18"/>
              </w:rPr>
            </w:pPr>
            <w:r w:rsidRPr="000568D2">
              <w:rPr>
                <w:rFonts w:ascii="Times New Roman" w:hAnsi="Times New Roman"/>
                <w:sz w:val="18"/>
                <w:szCs w:val="18"/>
              </w:rPr>
              <w:t xml:space="preserve"> </w:t>
            </w:r>
          </w:p>
        </w:tc>
        <w:tc>
          <w:tcPr>
            <w:tcW w:w="4189" w:type="dxa"/>
            <w:gridSpan w:val="4"/>
            <w:tcBorders>
              <w:top w:val="nil"/>
            </w:tcBorders>
            <w:shd w:val="clear" w:color="auto" w:fill="auto"/>
            <w:tcMar>
              <w:left w:w="0" w:type="dxa"/>
            </w:tcMar>
            <w:vAlign w:val="center"/>
          </w:tcPr>
          <w:p w:rsidR="000C7E9B" w:rsidRPr="00EC37E9" w:rsidRDefault="008D3DC2" w:rsidP="00495E0E">
            <w:pPr>
              <w:pStyle w:val="Heading5"/>
              <w:rPr>
                <w:rFonts w:ascii="Times New Roman" w:hAnsi="Times New Roman"/>
                <w:sz w:val="18"/>
                <w:szCs w:val="18"/>
              </w:rPr>
            </w:pPr>
            <w:r>
              <w:rPr>
                <w:rFonts w:ascii="Times New Roman" w:hAnsi="Times New Roman"/>
                <w:sz w:val="18"/>
                <w:szCs w:val="18"/>
              </w:rPr>
              <w:t>Group Discussion</w:t>
            </w:r>
          </w:p>
        </w:tc>
      </w:tr>
      <w:tr w:rsidR="000C7E9B" w:rsidRPr="00EC37E9" w:rsidTr="00C4165B">
        <w:trPr>
          <w:gridAfter w:val="1"/>
          <w:wAfter w:w="7" w:type="dxa"/>
          <w:trHeight w:val="1009"/>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0C7E9B" w:rsidRPr="000568D2" w:rsidRDefault="000C7E9B" w:rsidP="00E4591C">
            <w:pPr>
              <w:pStyle w:val="AllCapsHeading"/>
              <w:rPr>
                <w:rFonts w:ascii="Times New Roman" w:hAnsi="Times New Roman"/>
                <w:b w:val="0"/>
                <w:color w:val="auto"/>
                <w:sz w:val="20"/>
                <w:szCs w:val="20"/>
              </w:rPr>
            </w:pPr>
            <w:r w:rsidRPr="000568D2">
              <w:rPr>
                <w:rFonts w:ascii="Times New Roman" w:hAnsi="Times New Roman"/>
                <w:b w:val="0"/>
                <w:color w:val="auto"/>
                <w:sz w:val="20"/>
                <w:szCs w:val="20"/>
              </w:rPr>
              <w:t>Discussion</w:t>
            </w:r>
          </w:p>
        </w:tc>
        <w:tc>
          <w:tcPr>
            <w:tcW w:w="9450" w:type="dxa"/>
            <w:gridSpan w:val="8"/>
            <w:tcBorders>
              <w:top w:val="single" w:sz="12" w:space="0" w:color="999999"/>
              <w:left w:val="single" w:sz="4" w:space="0" w:color="C0C0C0"/>
              <w:bottom w:val="single" w:sz="4" w:space="0" w:color="C0C0C0"/>
              <w:right w:val="single" w:sz="4" w:space="0" w:color="C0C0C0"/>
            </w:tcBorders>
            <w:shd w:val="clear" w:color="auto" w:fill="auto"/>
            <w:vAlign w:val="center"/>
          </w:tcPr>
          <w:p w:rsidR="008D3DC2" w:rsidRPr="00F05E5F" w:rsidRDefault="008D3DC2" w:rsidP="000568D2">
            <w:pPr>
              <w:rPr>
                <w:rFonts w:ascii="Times New Roman" w:hAnsi="Times New Roman"/>
                <w:sz w:val="24"/>
              </w:rPr>
            </w:pPr>
            <w:r w:rsidRPr="00F05E5F">
              <w:rPr>
                <w:rFonts w:ascii="Times New Roman" w:hAnsi="Times New Roman"/>
                <w:sz w:val="24"/>
              </w:rPr>
              <w:t xml:space="preserve">Renewal applications included </w:t>
            </w:r>
            <w:r w:rsidR="00F05E5F" w:rsidRPr="00F05E5F">
              <w:rPr>
                <w:rFonts w:ascii="Times New Roman" w:hAnsi="Times New Roman"/>
                <w:sz w:val="24"/>
              </w:rPr>
              <w:t>discrepancies</w:t>
            </w:r>
            <w:r w:rsidRPr="00F05E5F">
              <w:rPr>
                <w:rFonts w:ascii="Times New Roman" w:hAnsi="Times New Roman"/>
                <w:sz w:val="24"/>
              </w:rPr>
              <w:t xml:space="preserve"> that affected scoring for local projects. In order to ensure transparency and fairness in scoring, the following motions were passed to eliminate great variance in score and to ensure fairness in competition. </w:t>
            </w:r>
          </w:p>
          <w:p w:rsidR="008D3DC2" w:rsidRPr="00F05E5F" w:rsidRDefault="008D3DC2" w:rsidP="008D3DC2">
            <w:pPr>
              <w:pStyle w:val="ListParagraph"/>
              <w:numPr>
                <w:ilvl w:val="0"/>
                <w:numId w:val="31"/>
              </w:numPr>
              <w:rPr>
                <w:rFonts w:ascii="Times New Roman" w:hAnsi="Times New Roman"/>
                <w:sz w:val="24"/>
              </w:rPr>
            </w:pPr>
            <w:r w:rsidRPr="00F05E5F">
              <w:rPr>
                <w:rFonts w:ascii="Times New Roman" w:hAnsi="Times New Roman"/>
                <w:sz w:val="24"/>
              </w:rPr>
              <w:t xml:space="preserve">Remove Section (3) Entirely. This section included unclear instructions for PEC scorers and created great variance in scoring techniques. (Additional motions for next year’s scoring passed to include in local applications.) </w:t>
            </w:r>
            <w:r w:rsidR="005C4D40" w:rsidRPr="00F05E5F">
              <w:rPr>
                <w:rFonts w:ascii="Times New Roman" w:hAnsi="Times New Roman"/>
                <w:sz w:val="24"/>
              </w:rPr>
              <w:t xml:space="preserve">Motion was passed for Amanda Wood to adjust the score according to PEC request.  </w:t>
            </w:r>
          </w:p>
          <w:p w:rsidR="005D14CF" w:rsidRPr="00F05E5F" w:rsidRDefault="005C4D40" w:rsidP="008D3DC2">
            <w:pPr>
              <w:pStyle w:val="ListParagraph"/>
              <w:numPr>
                <w:ilvl w:val="0"/>
                <w:numId w:val="31"/>
              </w:numPr>
              <w:rPr>
                <w:rFonts w:ascii="Times New Roman" w:hAnsi="Times New Roman"/>
                <w:sz w:val="24"/>
              </w:rPr>
            </w:pPr>
            <w:r w:rsidRPr="00F05E5F">
              <w:rPr>
                <w:rFonts w:ascii="Times New Roman" w:hAnsi="Times New Roman"/>
                <w:sz w:val="24"/>
              </w:rPr>
              <w:t xml:space="preserve">Adjust Section (4) according to correct scoring method. Some scorers used a gradient method while others used the application instructions. Motion was passed for Amanda Wood to adjust the score according to PEC request. </w:t>
            </w:r>
            <w:r w:rsidR="005D14CF" w:rsidRPr="00F05E5F">
              <w:rPr>
                <w:rFonts w:ascii="Times New Roman" w:hAnsi="Times New Roman"/>
                <w:sz w:val="24"/>
              </w:rPr>
              <w:t xml:space="preserve"> </w:t>
            </w:r>
            <w:r w:rsidR="00F05E5F" w:rsidRPr="00F05E5F">
              <w:rPr>
                <w:rFonts w:ascii="Times New Roman" w:hAnsi="Times New Roman"/>
                <w:sz w:val="24"/>
              </w:rPr>
              <w:t xml:space="preserve">The motion was to take a % of (5) to find the point amount for populations served in </w:t>
            </w:r>
            <w:r w:rsidR="00483F62">
              <w:rPr>
                <w:rFonts w:ascii="Times New Roman" w:hAnsi="Times New Roman"/>
                <w:sz w:val="24"/>
              </w:rPr>
              <w:t>Priority</w:t>
            </w:r>
            <w:r w:rsidR="00F05E5F" w:rsidRPr="00F05E5F">
              <w:rPr>
                <w:rFonts w:ascii="Times New Roman" w:hAnsi="Times New Roman"/>
                <w:sz w:val="24"/>
              </w:rPr>
              <w:t xml:space="preserve"> (1). For example, if the project proposed to serve (50%) in </w:t>
            </w:r>
            <w:r w:rsidR="00483F62">
              <w:rPr>
                <w:rFonts w:ascii="Times New Roman" w:hAnsi="Times New Roman"/>
                <w:sz w:val="24"/>
              </w:rPr>
              <w:t>Priority</w:t>
            </w:r>
            <w:r w:rsidR="00F05E5F" w:rsidRPr="00F05E5F">
              <w:rPr>
                <w:rFonts w:ascii="Times New Roman" w:hAnsi="Times New Roman"/>
                <w:sz w:val="24"/>
              </w:rPr>
              <w:t xml:space="preserve"> (1), this would equal 2.5 points out of the total (5). </w:t>
            </w:r>
          </w:p>
          <w:p w:rsidR="00F05E5F" w:rsidRPr="00F05E5F" w:rsidRDefault="00F05E5F" w:rsidP="00F05E5F">
            <w:pPr>
              <w:pStyle w:val="ListParagraph"/>
              <w:numPr>
                <w:ilvl w:val="0"/>
                <w:numId w:val="31"/>
              </w:numPr>
              <w:rPr>
                <w:rFonts w:ascii="Times New Roman" w:hAnsi="Times New Roman"/>
                <w:sz w:val="20"/>
              </w:rPr>
            </w:pPr>
            <w:r w:rsidRPr="00F05E5F">
              <w:rPr>
                <w:rFonts w:ascii="Times New Roman" w:hAnsi="Times New Roman"/>
                <w:sz w:val="24"/>
              </w:rPr>
              <w:t xml:space="preserve">Adjust Section (7) according to correct scoring method. There were some discrepancies in scoring but no calculation changes were recommendation. Instead, Amanda Wood was given the motion to adjust the scoring to maintain consistency in all PEC calculations. </w:t>
            </w:r>
          </w:p>
          <w:p w:rsidR="00F05E5F" w:rsidRPr="00F05E5F" w:rsidRDefault="00F05E5F" w:rsidP="00F05E5F">
            <w:pPr>
              <w:rPr>
                <w:rFonts w:ascii="Times New Roman" w:hAnsi="Times New Roman"/>
                <w:sz w:val="20"/>
              </w:rPr>
            </w:pPr>
            <w:r w:rsidRPr="00F05E5F">
              <w:rPr>
                <w:rFonts w:ascii="Times New Roman" w:hAnsi="Times New Roman"/>
                <w:sz w:val="24"/>
                <w:highlight w:val="yellow"/>
              </w:rPr>
              <w:t>Final Scores are adjusted and attached.</w:t>
            </w:r>
            <w:r w:rsidRPr="00F05E5F">
              <w:rPr>
                <w:rFonts w:ascii="Times New Roman" w:hAnsi="Times New Roman"/>
                <w:sz w:val="24"/>
              </w:rPr>
              <w:t xml:space="preserve"> </w:t>
            </w:r>
          </w:p>
        </w:tc>
      </w:tr>
      <w:tr w:rsidR="00F05E5F" w:rsidRPr="00EC37E9" w:rsidTr="00C4165B">
        <w:trPr>
          <w:gridAfter w:val="1"/>
          <w:wAfter w:w="7" w:type="dxa"/>
          <w:trHeight w:val="1009"/>
          <w:jc w:val="center"/>
        </w:trPr>
        <w:tc>
          <w:tcPr>
            <w:tcW w:w="1753" w:type="dxa"/>
            <w:tcBorders>
              <w:top w:val="single" w:sz="12" w:space="0" w:color="999999"/>
              <w:left w:val="single" w:sz="4" w:space="0" w:color="C0C0C0"/>
              <w:bottom w:val="single" w:sz="4" w:space="0" w:color="C0C0C0"/>
              <w:right w:val="single" w:sz="4" w:space="0" w:color="C0C0C0"/>
            </w:tcBorders>
            <w:shd w:val="clear" w:color="auto" w:fill="F3F3F3"/>
            <w:vAlign w:val="center"/>
          </w:tcPr>
          <w:p w:rsidR="00F05E5F" w:rsidRPr="000568D2" w:rsidRDefault="00F05E5F" w:rsidP="00E4591C">
            <w:pPr>
              <w:pStyle w:val="AllCapsHeading"/>
              <w:rPr>
                <w:rFonts w:ascii="Times New Roman" w:hAnsi="Times New Roman"/>
                <w:b w:val="0"/>
                <w:color w:val="auto"/>
                <w:sz w:val="20"/>
                <w:szCs w:val="20"/>
              </w:rPr>
            </w:pPr>
            <w:r>
              <w:rPr>
                <w:rFonts w:ascii="Times New Roman" w:hAnsi="Times New Roman"/>
                <w:b w:val="0"/>
                <w:color w:val="auto"/>
                <w:sz w:val="20"/>
                <w:szCs w:val="20"/>
              </w:rPr>
              <w:t>FY2017 Competitions</w:t>
            </w:r>
          </w:p>
        </w:tc>
        <w:tc>
          <w:tcPr>
            <w:tcW w:w="9450" w:type="dxa"/>
            <w:gridSpan w:val="8"/>
            <w:tcBorders>
              <w:top w:val="single" w:sz="12" w:space="0" w:color="999999"/>
              <w:left w:val="single" w:sz="4" w:space="0" w:color="C0C0C0"/>
              <w:bottom w:val="single" w:sz="4" w:space="0" w:color="C0C0C0"/>
              <w:right w:val="single" w:sz="4" w:space="0" w:color="C0C0C0"/>
            </w:tcBorders>
            <w:shd w:val="clear" w:color="auto" w:fill="auto"/>
            <w:vAlign w:val="center"/>
          </w:tcPr>
          <w:p w:rsidR="00F05E5F" w:rsidRDefault="00F05E5F" w:rsidP="000568D2">
            <w:pPr>
              <w:rPr>
                <w:rFonts w:ascii="Times New Roman" w:hAnsi="Times New Roman"/>
                <w:sz w:val="24"/>
              </w:rPr>
            </w:pPr>
            <w:r>
              <w:rPr>
                <w:rFonts w:ascii="Times New Roman" w:hAnsi="Times New Roman"/>
                <w:sz w:val="24"/>
              </w:rPr>
              <w:t xml:space="preserve">Suzie Tolmie made the request that the PEC begin meeting regularly throughout the year to more closely monitor projects. In addition, several recommendations were made and recorded in adjusting the renewal applications, timeline expectations and specific data points to be tracked in the next year’s data collection. </w:t>
            </w:r>
          </w:p>
          <w:p w:rsidR="00F05E5F" w:rsidRDefault="00F05E5F" w:rsidP="000568D2">
            <w:pPr>
              <w:rPr>
                <w:rFonts w:ascii="Times New Roman" w:hAnsi="Times New Roman"/>
                <w:sz w:val="24"/>
              </w:rPr>
            </w:pPr>
          </w:p>
          <w:p w:rsidR="00F05E5F" w:rsidRDefault="00F05E5F" w:rsidP="000568D2">
            <w:pPr>
              <w:rPr>
                <w:rFonts w:ascii="Times New Roman" w:hAnsi="Times New Roman"/>
                <w:color w:val="0070C0"/>
                <w:sz w:val="24"/>
              </w:rPr>
            </w:pPr>
            <w:r w:rsidRPr="00F05E5F">
              <w:rPr>
                <w:rFonts w:ascii="Times New Roman" w:hAnsi="Times New Roman"/>
                <w:color w:val="0070C0"/>
                <w:sz w:val="24"/>
              </w:rPr>
              <w:t xml:space="preserve">On record: Governance Board: By accepting these </w:t>
            </w:r>
            <w:r w:rsidR="00483F62">
              <w:rPr>
                <w:rFonts w:ascii="Times New Roman" w:hAnsi="Times New Roman"/>
                <w:color w:val="0070C0"/>
                <w:sz w:val="24"/>
              </w:rPr>
              <w:t>motion</w:t>
            </w:r>
            <w:r w:rsidRPr="00F05E5F">
              <w:rPr>
                <w:rFonts w:ascii="Times New Roman" w:hAnsi="Times New Roman"/>
                <w:color w:val="0070C0"/>
                <w:sz w:val="24"/>
              </w:rPr>
              <w:t xml:space="preserve"> proposals or adopting new ones, this should begin the process of providing strategic direction for the PEC subcommittee to follow in next year’s process. Official Request: </w:t>
            </w:r>
            <w:r w:rsidR="00483F62" w:rsidRPr="00483F62">
              <w:rPr>
                <w:rFonts w:ascii="Times New Roman" w:hAnsi="Times New Roman"/>
                <w:b/>
                <w:i/>
                <w:color w:val="FF0000"/>
                <w:sz w:val="24"/>
              </w:rPr>
              <w:t>Please</w:t>
            </w:r>
            <w:r w:rsidR="00483F62">
              <w:rPr>
                <w:rFonts w:ascii="Times New Roman" w:hAnsi="Times New Roman"/>
                <w:color w:val="0070C0"/>
                <w:sz w:val="24"/>
              </w:rPr>
              <w:t xml:space="preserve"> </w:t>
            </w:r>
            <w:r w:rsidR="00483F62">
              <w:rPr>
                <w:rFonts w:ascii="Times New Roman" w:hAnsi="Times New Roman"/>
                <w:b/>
                <w:i/>
                <w:color w:val="FF0000"/>
                <w:sz w:val="24"/>
              </w:rPr>
              <w:t>r</w:t>
            </w:r>
            <w:r w:rsidRPr="00483F62">
              <w:rPr>
                <w:rFonts w:ascii="Times New Roman" w:hAnsi="Times New Roman"/>
                <w:b/>
                <w:i/>
                <w:color w:val="FF0000"/>
                <w:sz w:val="24"/>
              </w:rPr>
              <w:t xml:space="preserve">eview </w:t>
            </w:r>
            <w:proofErr w:type="gramStart"/>
            <w:r w:rsidRPr="00483F62">
              <w:rPr>
                <w:rFonts w:ascii="Times New Roman" w:hAnsi="Times New Roman"/>
                <w:b/>
                <w:i/>
                <w:color w:val="FF0000"/>
                <w:sz w:val="24"/>
              </w:rPr>
              <w:t>process performed by PEC and provide</w:t>
            </w:r>
            <w:proofErr w:type="gramEnd"/>
            <w:r w:rsidRPr="00483F62">
              <w:rPr>
                <w:rFonts w:ascii="Times New Roman" w:hAnsi="Times New Roman"/>
                <w:b/>
                <w:i/>
                <w:color w:val="FF0000"/>
                <w:sz w:val="24"/>
              </w:rPr>
              <w:t xml:space="preserve"> clear and specific direction on priorities. </w:t>
            </w:r>
            <w:r w:rsidR="00483F62">
              <w:rPr>
                <w:rFonts w:ascii="Times New Roman" w:hAnsi="Times New Roman"/>
                <w:b/>
                <w:i/>
                <w:color w:val="FF0000"/>
                <w:sz w:val="24"/>
              </w:rPr>
              <w:t xml:space="preserve">The PEC would like to request Governance provide scoring recommendations and </w:t>
            </w:r>
            <w:proofErr w:type="gramStart"/>
            <w:r w:rsidR="00483F62">
              <w:rPr>
                <w:rFonts w:ascii="Times New Roman" w:hAnsi="Times New Roman"/>
                <w:b/>
                <w:i/>
                <w:color w:val="FF0000"/>
                <w:sz w:val="24"/>
              </w:rPr>
              <w:t>direction  in</w:t>
            </w:r>
            <w:proofErr w:type="gramEnd"/>
            <w:r w:rsidR="00483F62">
              <w:rPr>
                <w:rFonts w:ascii="Times New Roman" w:hAnsi="Times New Roman"/>
                <w:b/>
                <w:i/>
                <w:color w:val="FF0000"/>
                <w:sz w:val="24"/>
              </w:rPr>
              <w:t xml:space="preserve"> identifying local priorities. </w:t>
            </w:r>
          </w:p>
          <w:p w:rsidR="00F05E5F" w:rsidRDefault="00F05E5F" w:rsidP="000568D2">
            <w:pPr>
              <w:rPr>
                <w:rFonts w:ascii="Times New Roman" w:hAnsi="Times New Roman"/>
                <w:color w:val="0070C0"/>
                <w:sz w:val="24"/>
              </w:rPr>
            </w:pPr>
          </w:p>
          <w:p w:rsidR="00F05E5F" w:rsidRPr="00483F62" w:rsidRDefault="00483F62" w:rsidP="000568D2">
            <w:pPr>
              <w:rPr>
                <w:rFonts w:ascii="Times New Roman" w:hAnsi="Times New Roman"/>
                <w:b/>
                <w:color w:val="0070C0"/>
                <w:sz w:val="24"/>
                <w:u w:val="single"/>
              </w:rPr>
            </w:pPr>
            <w:r w:rsidRPr="00483F62">
              <w:rPr>
                <w:rFonts w:ascii="Times New Roman" w:hAnsi="Times New Roman"/>
                <w:b/>
                <w:color w:val="0070C0"/>
                <w:sz w:val="24"/>
                <w:u w:val="single"/>
              </w:rPr>
              <w:t>PEC Materials Used in forming</w:t>
            </w:r>
            <w:r>
              <w:rPr>
                <w:rFonts w:ascii="Times New Roman" w:hAnsi="Times New Roman"/>
                <w:b/>
                <w:color w:val="0070C0"/>
                <w:sz w:val="24"/>
                <w:u w:val="single"/>
              </w:rPr>
              <w:t xml:space="preserve"> </w:t>
            </w:r>
            <w:r w:rsidRPr="00483F62">
              <w:rPr>
                <w:rFonts w:ascii="Times New Roman" w:hAnsi="Times New Roman"/>
                <w:b/>
                <w:color w:val="0070C0"/>
                <w:sz w:val="24"/>
                <w:u w:val="single"/>
              </w:rPr>
              <w:t>Motion</w:t>
            </w:r>
            <w:r w:rsidR="00F05E5F" w:rsidRPr="00483F62">
              <w:rPr>
                <w:rFonts w:ascii="Times New Roman" w:hAnsi="Times New Roman"/>
                <w:b/>
                <w:color w:val="0070C0"/>
                <w:sz w:val="24"/>
                <w:u w:val="single"/>
              </w:rPr>
              <w:t xml:space="preserve"> Recommendations: </w:t>
            </w:r>
          </w:p>
          <w:p w:rsidR="00F05E5F" w:rsidRDefault="00F05E5F" w:rsidP="000568D2">
            <w:pPr>
              <w:rPr>
                <w:rFonts w:ascii="Times New Roman" w:hAnsi="Times New Roman"/>
                <w:color w:val="0070C0"/>
                <w:sz w:val="24"/>
              </w:rPr>
            </w:pPr>
            <w:r>
              <w:rPr>
                <w:rFonts w:ascii="Times New Roman" w:hAnsi="Times New Roman"/>
                <w:color w:val="0070C0"/>
                <w:sz w:val="24"/>
              </w:rPr>
              <w:t>Renewal and New Application Submissions by all projects</w:t>
            </w:r>
          </w:p>
          <w:p w:rsidR="00F05E5F" w:rsidRDefault="00F05E5F" w:rsidP="000568D2">
            <w:pPr>
              <w:rPr>
                <w:rFonts w:ascii="Times New Roman" w:hAnsi="Times New Roman"/>
                <w:color w:val="0070C0"/>
                <w:sz w:val="24"/>
              </w:rPr>
            </w:pPr>
            <w:r>
              <w:rPr>
                <w:rFonts w:ascii="Times New Roman" w:hAnsi="Times New Roman"/>
                <w:color w:val="0070C0"/>
                <w:sz w:val="24"/>
              </w:rPr>
              <w:t>HMIS Data provided in the application by the Systems Administrator</w:t>
            </w:r>
          </w:p>
          <w:p w:rsidR="00F05E5F" w:rsidRDefault="00F05E5F" w:rsidP="000568D2">
            <w:pPr>
              <w:rPr>
                <w:rFonts w:ascii="Times New Roman" w:hAnsi="Times New Roman"/>
                <w:color w:val="0070C0"/>
                <w:sz w:val="24"/>
              </w:rPr>
            </w:pPr>
            <w:r>
              <w:rPr>
                <w:rFonts w:ascii="Times New Roman" w:hAnsi="Times New Roman"/>
                <w:color w:val="0070C0"/>
                <w:sz w:val="24"/>
              </w:rPr>
              <w:t xml:space="preserve">FY2016 HUD NOFA </w:t>
            </w:r>
          </w:p>
          <w:p w:rsidR="00F05E5F" w:rsidRDefault="00F05E5F" w:rsidP="000568D2">
            <w:pPr>
              <w:rPr>
                <w:rFonts w:ascii="Times New Roman" w:hAnsi="Times New Roman"/>
                <w:color w:val="0070C0"/>
                <w:sz w:val="24"/>
              </w:rPr>
            </w:pPr>
            <w:r>
              <w:rPr>
                <w:rFonts w:ascii="Times New Roman" w:hAnsi="Times New Roman"/>
                <w:color w:val="0070C0"/>
                <w:sz w:val="24"/>
              </w:rPr>
              <w:t>Focus Strategies Report recommendations as they align with the NOFA</w:t>
            </w:r>
          </w:p>
          <w:p w:rsidR="00D328D2" w:rsidRDefault="00D328D2" w:rsidP="000568D2">
            <w:pPr>
              <w:rPr>
                <w:rFonts w:ascii="Times New Roman" w:hAnsi="Times New Roman"/>
                <w:color w:val="0070C0"/>
                <w:sz w:val="24"/>
              </w:rPr>
            </w:pPr>
            <w:r>
              <w:rPr>
                <w:rFonts w:ascii="Times New Roman" w:hAnsi="Times New Roman"/>
                <w:color w:val="0070C0"/>
                <w:sz w:val="24"/>
              </w:rPr>
              <w:t>Contextual data provided by Staff</w:t>
            </w:r>
          </w:p>
          <w:p w:rsidR="00F05E5F" w:rsidRPr="00F05E5F" w:rsidRDefault="00F05E5F" w:rsidP="000568D2">
            <w:pPr>
              <w:rPr>
                <w:rFonts w:ascii="Times New Roman" w:hAnsi="Times New Roman"/>
                <w:sz w:val="24"/>
              </w:rPr>
            </w:pPr>
          </w:p>
        </w:tc>
      </w:tr>
      <w:tr w:rsidR="000C7E9B" w:rsidRPr="00EC37E9" w:rsidTr="004A0042">
        <w:trPr>
          <w:gridAfter w:val="1"/>
          <w:wAfter w:w="7" w:type="dxa"/>
          <w:trHeight w:hRule="exact" w:val="101"/>
          <w:jc w:val="center"/>
        </w:trPr>
        <w:tc>
          <w:tcPr>
            <w:tcW w:w="11203" w:type="dxa"/>
            <w:gridSpan w:val="9"/>
            <w:tcBorders>
              <w:top w:val="single" w:sz="4" w:space="0" w:color="C0C0C0"/>
            </w:tcBorders>
            <w:shd w:val="clear" w:color="auto" w:fill="auto"/>
            <w:tcMar>
              <w:left w:w="0" w:type="dxa"/>
            </w:tcMar>
            <w:vAlign w:val="center"/>
          </w:tcPr>
          <w:p w:rsidR="000C7E9B" w:rsidRPr="00EC37E9" w:rsidRDefault="000C7E9B" w:rsidP="00456620">
            <w:pPr>
              <w:rPr>
                <w:rFonts w:ascii="Times New Roman" w:hAnsi="Times New Roman"/>
                <w:sz w:val="20"/>
                <w:szCs w:val="20"/>
              </w:rPr>
            </w:pPr>
          </w:p>
        </w:tc>
      </w:tr>
    </w:tbl>
    <w:p w:rsidR="00BF67B5" w:rsidRDefault="00BF67B5" w:rsidP="00BB5323"/>
    <w:p w:rsidR="00BF67B5" w:rsidRPr="00D328D2" w:rsidRDefault="00D328D2" w:rsidP="00BB5323">
      <w:pPr>
        <w:rPr>
          <w:rFonts w:ascii="Times New Roman" w:hAnsi="Times New Roman"/>
          <w:b/>
          <w:color w:val="0070C0"/>
          <w:sz w:val="24"/>
          <w:u w:val="single"/>
        </w:rPr>
      </w:pPr>
      <w:r w:rsidRPr="00D328D2">
        <w:rPr>
          <w:rFonts w:ascii="Times New Roman" w:hAnsi="Times New Roman"/>
          <w:b/>
          <w:color w:val="0070C0"/>
          <w:sz w:val="24"/>
          <w:u w:val="single"/>
        </w:rPr>
        <w:t xml:space="preserve">******Paula Foster and Giovanni Achoe did not score all applications. The proposal was made for these two PEC members to be appointed to any Appeals Committee formed by the Governance Board and chaired by Erik Cole. </w:t>
      </w:r>
    </w:p>
    <w:sectPr w:rsidR="00BF67B5" w:rsidRPr="00D328D2" w:rsidSect="007554A1">
      <w:type w:val="continuous"/>
      <w:pgSz w:w="12240" w:h="15840" w:code="1"/>
      <w:pgMar w:top="1080" w:right="1008" w:bottom="1080" w:left="100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1754D"/>
    <w:multiLevelType w:val="hybridMultilevel"/>
    <w:tmpl w:val="BE984A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98D0F32"/>
    <w:multiLevelType w:val="hybridMultilevel"/>
    <w:tmpl w:val="ED8CD7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E4F10FB"/>
    <w:multiLevelType w:val="multilevel"/>
    <w:tmpl w:val="36E41984"/>
    <w:lvl w:ilvl="0">
      <w:start w:val="5"/>
      <w:numFmt w:val="decimal"/>
      <w:lvlText w:val="%1.0"/>
      <w:lvlJc w:val="left"/>
      <w:pPr>
        <w:ind w:left="72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520" w:hanging="720"/>
      </w:pPr>
      <w:rPr>
        <w:rFonts w:hint="default"/>
      </w:rPr>
    </w:lvl>
    <w:lvl w:ilvl="3">
      <w:start w:val="1"/>
      <w:numFmt w:val="decimal"/>
      <w:lvlText w:val="%1.%2.%3.%4"/>
      <w:lvlJc w:val="left"/>
      <w:pPr>
        <w:ind w:left="3240" w:hanging="72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20" w:hanging="1440"/>
      </w:pPr>
      <w:rPr>
        <w:rFonts w:hint="default"/>
      </w:rPr>
    </w:lvl>
    <w:lvl w:ilvl="7">
      <w:start w:val="1"/>
      <w:numFmt w:val="decimal"/>
      <w:lvlText w:val="%1.%2.%3.%4.%5.%6.%7.%8"/>
      <w:lvlJc w:val="left"/>
      <w:pPr>
        <w:ind w:left="6840" w:hanging="1440"/>
      </w:pPr>
      <w:rPr>
        <w:rFonts w:hint="default"/>
      </w:rPr>
    </w:lvl>
    <w:lvl w:ilvl="8">
      <w:start w:val="1"/>
      <w:numFmt w:val="decimal"/>
      <w:lvlText w:val="%1.%2.%3.%4.%5.%6.%7.%8.%9"/>
      <w:lvlJc w:val="left"/>
      <w:pPr>
        <w:ind w:left="7920" w:hanging="1800"/>
      </w:pPr>
      <w:rPr>
        <w:rFonts w:hint="default"/>
      </w:rPr>
    </w:lvl>
  </w:abstractNum>
  <w:abstractNum w:abstractNumId="3">
    <w:nsid w:val="145C5033"/>
    <w:multiLevelType w:val="hybridMultilevel"/>
    <w:tmpl w:val="71C899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471687"/>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6D277E"/>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2C2107"/>
    <w:multiLevelType w:val="hybridMultilevel"/>
    <w:tmpl w:val="3FA05E0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5546CF"/>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F111EA"/>
    <w:multiLevelType w:val="hybridMultilevel"/>
    <w:tmpl w:val="D3A870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nsid w:val="2CF6032C"/>
    <w:multiLevelType w:val="hybridMultilevel"/>
    <w:tmpl w:val="B40CCF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D4B4399"/>
    <w:multiLevelType w:val="hybridMultilevel"/>
    <w:tmpl w:val="F49E1404"/>
    <w:lvl w:ilvl="0" w:tplc="0409000F">
      <w:start w:val="9"/>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E9967EE"/>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F185E2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DC02E0"/>
    <w:multiLevelType w:val="hybridMultilevel"/>
    <w:tmpl w:val="2D789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335CD2"/>
    <w:multiLevelType w:val="hybridMultilevel"/>
    <w:tmpl w:val="FA8A11A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903AFC"/>
    <w:multiLevelType w:val="hybridMultilevel"/>
    <w:tmpl w:val="6DFA9A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C1B2907"/>
    <w:multiLevelType w:val="hybridMultilevel"/>
    <w:tmpl w:val="458C8D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438D2FA7"/>
    <w:multiLevelType w:val="hybridMultilevel"/>
    <w:tmpl w:val="4D202BA8"/>
    <w:lvl w:ilvl="0" w:tplc="7D5810E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5E7EEC"/>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074E0C"/>
    <w:multiLevelType w:val="hybridMultilevel"/>
    <w:tmpl w:val="98E06D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9283CA0"/>
    <w:multiLevelType w:val="hybridMultilevel"/>
    <w:tmpl w:val="41907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A8E6BAB"/>
    <w:multiLevelType w:val="hybridMultilevel"/>
    <w:tmpl w:val="A80C766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B780707"/>
    <w:multiLevelType w:val="hybridMultilevel"/>
    <w:tmpl w:val="DE82CDF8"/>
    <w:lvl w:ilvl="0" w:tplc="0409000F">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FA35F58"/>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30A7361"/>
    <w:multiLevelType w:val="hybridMultilevel"/>
    <w:tmpl w:val="23A26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1D32F8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2232A35"/>
    <w:multiLevelType w:val="hybridMultilevel"/>
    <w:tmpl w:val="50C05EC8"/>
    <w:lvl w:ilvl="0" w:tplc="D59431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67F574D1"/>
    <w:multiLevelType w:val="hybridMultilevel"/>
    <w:tmpl w:val="BC209102"/>
    <w:lvl w:ilvl="0" w:tplc="D2022DA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8">
    <w:nsid w:val="70664C05"/>
    <w:multiLevelType w:val="hybridMultilevel"/>
    <w:tmpl w:val="A09E36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4C568A0"/>
    <w:multiLevelType w:val="hybridMultilevel"/>
    <w:tmpl w:val="3426E0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nsid w:val="766604CC"/>
    <w:multiLevelType w:val="hybridMultilevel"/>
    <w:tmpl w:val="606200A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1"/>
  </w:num>
  <w:num w:numId="2">
    <w:abstractNumId w:val="6"/>
  </w:num>
  <w:num w:numId="3">
    <w:abstractNumId w:val="14"/>
  </w:num>
  <w:num w:numId="4">
    <w:abstractNumId w:val="21"/>
  </w:num>
  <w:num w:numId="5">
    <w:abstractNumId w:val="9"/>
  </w:num>
  <w:num w:numId="6">
    <w:abstractNumId w:val="20"/>
  </w:num>
  <w:num w:numId="7">
    <w:abstractNumId w:val="28"/>
  </w:num>
  <w:num w:numId="8">
    <w:abstractNumId w:val="2"/>
  </w:num>
  <w:num w:numId="9">
    <w:abstractNumId w:val="22"/>
  </w:num>
  <w:num w:numId="10">
    <w:abstractNumId w:val="26"/>
  </w:num>
  <w:num w:numId="11">
    <w:abstractNumId w:val="10"/>
  </w:num>
  <w:num w:numId="12">
    <w:abstractNumId w:val="8"/>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12"/>
  </w:num>
  <w:num w:numId="16">
    <w:abstractNumId w:val="18"/>
  </w:num>
  <w:num w:numId="17">
    <w:abstractNumId w:val="15"/>
  </w:num>
  <w:num w:numId="18">
    <w:abstractNumId w:val="1"/>
  </w:num>
  <w:num w:numId="19">
    <w:abstractNumId w:val="24"/>
  </w:num>
  <w:num w:numId="20">
    <w:abstractNumId w:val="3"/>
  </w:num>
  <w:num w:numId="21">
    <w:abstractNumId w:val="4"/>
  </w:num>
  <w:num w:numId="22">
    <w:abstractNumId w:val="25"/>
  </w:num>
  <w:num w:numId="23">
    <w:abstractNumId w:val="7"/>
  </w:num>
  <w:num w:numId="24">
    <w:abstractNumId w:val="23"/>
  </w:num>
  <w:num w:numId="25">
    <w:abstractNumId w:val="13"/>
  </w:num>
  <w:num w:numId="26">
    <w:abstractNumId w:val="19"/>
  </w:num>
  <w:num w:numId="27">
    <w:abstractNumId w:val="29"/>
  </w:num>
  <w:num w:numId="28">
    <w:abstractNumId w:val="16"/>
  </w:num>
  <w:num w:numId="29">
    <w:abstractNumId w:val="30"/>
  </w:num>
  <w:num w:numId="30">
    <w:abstractNumId w:val="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87"/>
  <w:doNotUseMarginsForDrawingGridOrigin/>
  <w:drawingGridHorizontalOrigin w:val="1699"/>
  <w:drawingGridVerticalOrigin w:val="1987"/>
  <w:noPunctuationKerning/>
  <w:characterSpacingControl w:val="doNotCompress"/>
  <w:compat>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6E18"/>
    <w:rsid w:val="000145A5"/>
    <w:rsid w:val="00024B3B"/>
    <w:rsid w:val="00042A9A"/>
    <w:rsid w:val="00043514"/>
    <w:rsid w:val="000568D2"/>
    <w:rsid w:val="000700B9"/>
    <w:rsid w:val="000C7E9B"/>
    <w:rsid w:val="0012109E"/>
    <w:rsid w:val="00137499"/>
    <w:rsid w:val="001538F0"/>
    <w:rsid w:val="001A00DF"/>
    <w:rsid w:val="001A22E3"/>
    <w:rsid w:val="001B37FC"/>
    <w:rsid w:val="001B3C45"/>
    <w:rsid w:val="001B5C6D"/>
    <w:rsid w:val="001F44B9"/>
    <w:rsid w:val="002138F0"/>
    <w:rsid w:val="00214215"/>
    <w:rsid w:val="002378C1"/>
    <w:rsid w:val="00252657"/>
    <w:rsid w:val="00280633"/>
    <w:rsid w:val="002A58E5"/>
    <w:rsid w:val="002C564A"/>
    <w:rsid w:val="002C5E97"/>
    <w:rsid w:val="002D577A"/>
    <w:rsid w:val="003421F9"/>
    <w:rsid w:val="00357C71"/>
    <w:rsid w:val="00373815"/>
    <w:rsid w:val="00385CFB"/>
    <w:rsid w:val="00393588"/>
    <w:rsid w:val="003A7BE5"/>
    <w:rsid w:val="003E3F91"/>
    <w:rsid w:val="00417272"/>
    <w:rsid w:val="00435D74"/>
    <w:rsid w:val="00456620"/>
    <w:rsid w:val="00483F62"/>
    <w:rsid w:val="00495E0E"/>
    <w:rsid w:val="004A0042"/>
    <w:rsid w:val="005052C5"/>
    <w:rsid w:val="00531002"/>
    <w:rsid w:val="0055664D"/>
    <w:rsid w:val="00556A12"/>
    <w:rsid w:val="00575D67"/>
    <w:rsid w:val="00583181"/>
    <w:rsid w:val="005840FB"/>
    <w:rsid w:val="005B303B"/>
    <w:rsid w:val="005C4D40"/>
    <w:rsid w:val="005D14CF"/>
    <w:rsid w:val="005F7853"/>
    <w:rsid w:val="00606DE2"/>
    <w:rsid w:val="0065731E"/>
    <w:rsid w:val="00685A6F"/>
    <w:rsid w:val="00692553"/>
    <w:rsid w:val="006B3180"/>
    <w:rsid w:val="006E696C"/>
    <w:rsid w:val="00701C68"/>
    <w:rsid w:val="00717B4B"/>
    <w:rsid w:val="00736E18"/>
    <w:rsid w:val="007554A1"/>
    <w:rsid w:val="00770840"/>
    <w:rsid w:val="0078071A"/>
    <w:rsid w:val="00787515"/>
    <w:rsid w:val="0079305B"/>
    <w:rsid w:val="007C174F"/>
    <w:rsid w:val="007F15DA"/>
    <w:rsid w:val="007F5D94"/>
    <w:rsid w:val="008253C4"/>
    <w:rsid w:val="00830AC9"/>
    <w:rsid w:val="00833511"/>
    <w:rsid w:val="0085168B"/>
    <w:rsid w:val="00851ADC"/>
    <w:rsid w:val="008B4FB1"/>
    <w:rsid w:val="008C5617"/>
    <w:rsid w:val="008D3DC2"/>
    <w:rsid w:val="008F49C0"/>
    <w:rsid w:val="008F6A70"/>
    <w:rsid w:val="00903A06"/>
    <w:rsid w:val="00913316"/>
    <w:rsid w:val="009271A9"/>
    <w:rsid w:val="00987202"/>
    <w:rsid w:val="009C22CD"/>
    <w:rsid w:val="00A03C68"/>
    <w:rsid w:val="00A11947"/>
    <w:rsid w:val="00A52057"/>
    <w:rsid w:val="00A92599"/>
    <w:rsid w:val="00A94530"/>
    <w:rsid w:val="00A979FE"/>
    <w:rsid w:val="00AE3851"/>
    <w:rsid w:val="00AF3867"/>
    <w:rsid w:val="00AF3E30"/>
    <w:rsid w:val="00B028ED"/>
    <w:rsid w:val="00B52DEE"/>
    <w:rsid w:val="00B84015"/>
    <w:rsid w:val="00B86EE6"/>
    <w:rsid w:val="00BB5323"/>
    <w:rsid w:val="00BC0AC4"/>
    <w:rsid w:val="00BC6F67"/>
    <w:rsid w:val="00BD0E3B"/>
    <w:rsid w:val="00BE6FBD"/>
    <w:rsid w:val="00BF67B5"/>
    <w:rsid w:val="00C166AB"/>
    <w:rsid w:val="00C247DF"/>
    <w:rsid w:val="00C4165B"/>
    <w:rsid w:val="00C65D64"/>
    <w:rsid w:val="00C74EF8"/>
    <w:rsid w:val="00CB3760"/>
    <w:rsid w:val="00CD7282"/>
    <w:rsid w:val="00CE6342"/>
    <w:rsid w:val="00D124B6"/>
    <w:rsid w:val="00D328D2"/>
    <w:rsid w:val="00D33A40"/>
    <w:rsid w:val="00D33FFC"/>
    <w:rsid w:val="00D34B37"/>
    <w:rsid w:val="00D567AB"/>
    <w:rsid w:val="00D621F4"/>
    <w:rsid w:val="00D96C9B"/>
    <w:rsid w:val="00DE67B3"/>
    <w:rsid w:val="00DF7B84"/>
    <w:rsid w:val="00E43BAB"/>
    <w:rsid w:val="00E4591C"/>
    <w:rsid w:val="00E46498"/>
    <w:rsid w:val="00E60E43"/>
    <w:rsid w:val="00E71616"/>
    <w:rsid w:val="00E71DBA"/>
    <w:rsid w:val="00E96FC8"/>
    <w:rsid w:val="00EA2581"/>
    <w:rsid w:val="00EA2996"/>
    <w:rsid w:val="00EC37E9"/>
    <w:rsid w:val="00EE1DAB"/>
    <w:rsid w:val="00EF42E9"/>
    <w:rsid w:val="00F05B76"/>
    <w:rsid w:val="00F05E5F"/>
    <w:rsid w:val="00F343FB"/>
    <w:rsid w:val="00F363F6"/>
    <w:rsid w:val="00F5674F"/>
    <w:rsid w:val="00FF29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link w:val="Heading4Char"/>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character" w:styleId="Hyperlink">
    <w:name w:val="Hyperlink"/>
    <w:basedOn w:val="DefaultParagraphFont"/>
    <w:rsid w:val="00F05B76"/>
    <w:rPr>
      <w:color w:val="0000FF" w:themeColor="hyperlink"/>
      <w:u w:val="single"/>
    </w:rPr>
  </w:style>
  <w:style w:type="paragraph" w:styleId="ListParagraph">
    <w:name w:val="List Paragraph"/>
    <w:basedOn w:val="Normal"/>
    <w:uiPriority w:val="34"/>
    <w:qFormat/>
    <w:rsid w:val="007F15DA"/>
    <w:pPr>
      <w:ind w:left="720"/>
      <w:contextualSpacing/>
    </w:pPr>
  </w:style>
  <w:style w:type="character" w:customStyle="1" w:styleId="Heading4Char">
    <w:name w:val="Heading 4 Char"/>
    <w:basedOn w:val="DefaultParagraphFont"/>
    <w:link w:val="Heading4"/>
    <w:rsid w:val="00BF67B5"/>
    <w:rPr>
      <w:rFonts w:ascii="Tahoma" w:hAnsi="Tahoma"/>
      <w:caps/>
      <w:spacing w:val="4"/>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A2581"/>
    <w:rPr>
      <w:rFonts w:ascii="Tahoma" w:hAnsi="Tahoma"/>
      <w:spacing w:val="4"/>
      <w:sz w:val="16"/>
      <w:szCs w:val="18"/>
    </w:rPr>
  </w:style>
  <w:style w:type="paragraph" w:styleId="Heading1">
    <w:name w:val="heading 1"/>
    <w:basedOn w:val="Normal"/>
    <w:next w:val="Normal"/>
    <w:qFormat/>
    <w:rsid w:val="00E43BAB"/>
    <w:pPr>
      <w:outlineLvl w:val="0"/>
    </w:pPr>
    <w:rPr>
      <w:sz w:val="40"/>
      <w:szCs w:val="40"/>
    </w:rPr>
  </w:style>
  <w:style w:type="paragraph" w:styleId="Heading2">
    <w:name w:val="heading 2"/>
    <w:basedOn w:val="Heading1"/>
    <w:next w:val="Normal"/>
    <w:qFormat/>
    <w:rsid w:val="00AE3851"/>
    <w:pPr>
      <w:outlineLvl w:val="1"/>
    </w:pPr>
    <w:rPr>
      <w:sz w:val="24"/>
    </w:rPr>
  </w:style>
  <w:style w:type="paragraph" w:styleId="Heading3">
    <w:name w:val="heading 3"/>
    <w:basedOn w:val="Heading1"/>
    <w:next w:val="Normal"/>
    <w:qFormat/>
    <w:rsid w:val="00E43BAB"/>
    <w:pPr>
      <w:outlineLvl w:val="2"/>
    </w:pPr>
    <w:rPr>
      <w:caps/>
      <w:color w:val="999999"/>
      <w:sz w:val="32"/>
    </w:rPr>
  </w:style>
  <w:style w:type="paragraph" w:styleId="Heading4">
    <w:name w:val="heading 4"/>
    <w:basedOn w:val="Normal"/>
    <w:next w:val="Normal"/>
    <w:link w:val="Heading4Char"/>
    <w:qFormat/>
    <w:rsid w:val="00456620"/>
    <w:pPr>
      <w:framePr w:hSpace="187" w:wrap="around" w:vAnchor="page" w:hAnchor="page" w:xAlign="center" w:y="1441"/>
      <w:suppressOverlap/>
      <w:outlineLvl w:val="3"/>
    </w:pPr>
    <w:rPr>
      <w:caps/>
      <w:szCs w:val="16"/>
    </w:rPr>
  </w:style>
  <w:style w:type="paragraph" w:styleId="Heading5">
    <w:name w:val="heading 5"/>
    <w:basedOn w:val="Normal"/>
    <w:next w:val="Normal"/>
    <w:qFormat/>
    <w:rsid w:val="00456620"/>
    <w:pPr>
      <w:jc w:val="right"/>
      <w:outlineLvl w:val="4"/>
    </w:pPr>
    <w:rPr>
      <w:caps/>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llCapsHeading">
    <w:name w:val="All Caps Heading"/>
    <w:basedOn w:val="Normal"/>
    <w:rsid w:val="00CB3760"/>
    <w:rPr>
      <w:b/>
      <w:caps/>
      <w:color w:val="808080"/>
      <w:sz w:val="14"/>
      <w:szCs w:val="16"/>
    </w:rPr>
  </w:style>
  <w:style w:type="paragraph" w:styleId="BalloonText">
    <w:name w:val="Balloon Text"/>
    <w:basedOn w:val="Normal"/>
    <w:semiHidden/>
    <w:rsid w:val="00CB3760"/>
    <w:rPr>
      <w:rFonts w:cs="Tahoma"/>
      <w:szCs w:val="16"/>
    </w:rPr>
  </w:style>
  <w:style w:type="character" w:styleId="Hyperlink">
    <w:name w:val="Hyperlink"/>
    <w:basedOn w:val="DefaultParagraphFont"/>
    <w:rsid w:val="00F05B76"/>
    <w:rPr>
      <w:color w:val="0000FF" w:themeColor="hyperlink"/>
      <w:u w:val="single"/>
    </w:rPr>
  </w:style>
  <w:style w:type="paragraph" w:styleId="ListParagraph">
    <w:name w:val="List Paragraph"/>
    <w:basedOn w:val="Normal"/>
    <w:uiPriority w:val="34"/>
    <w:qFormat/>
    <w:rsid w:val="007F15DA"/>
    <w:pPr>
      <w:ind w:left="720"/>
      <w:contextualSpacing/>
    </w:pPr>
  </w:style>
  <w:style w:type="character" w:customStyle="1" w:styleId="Heading4Char">
    <w:name w:val="Heading 4 Char"/>
    <w:basedOn w:val="DefaultParagraphFont"/>
    <w:link w:val="Heading4"/>
    <w:rsid w:val="00BF67B5"/>
    <w:rPr>
      <w:rFonts w:ascii="Tahoma" w:hAnsi="Tahoma"/>
      <w:caps/>
      <w:spacing w:val="4"/>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934425">
      <w:bodyDiv w:val="1"/>
      <w:marLeft w:val="0"/>
      <w:marRight w:val="0"/>
      <w:marTop w:val="0"/>
      <w:marBottom w:val="0"/>
      <w:divBdr>
        <w:top w:val="none" w:sz="0" w:space="0" w:color="auto"/>
        <w:left w:val="none" w:sz="0" w:space="0" w:color="auto"/>
        <w:bottom w:val="none" w:sz="0" w:space="0" w:color="auto"/>
        <w:right w:val="none" w:sz="0" w:space="0" w:color="auto"/>
      </w:divBdr>
    </w:div>
    <w:div w:id="1029378616">
      <w:bodyDiv w:val="1"/>
      <w:marLeft w:val="0"/>
      <w:marRight w:val="0"/>
      <w:marTop w:val="0"/>
      <w:marBottom w:val="0"/>
      <w:divBdr>
        <w:top w:val="none" w:sz="0" w:space="0" w:color="auto"/>
        <w:left w:val="none" w:sz="0" w:space="0" w:color="auto"/>
        <w:bottom w:val="none" w:sz="0" w:space="0" w:color="auto"/>
        <w:right w:val="none" w:sz="0" w:space="0" w:color="auto"/>
      </w:divBdr>
    </w:div>
    <w:div w:id="1528447641">
      <w:bodyDiv w:val="1"/>
      <w:marLeft w:val="0"/>
      <w:marRight w:val="0"/>
      <w:marTop w:val="0"/>
      <w:marBottom w:val="0"/>
      <w:divBdr>
        <w:top w:val="none" w:sz="0" w:space="0" w:color="auto"/>
        <w:left w:val="none" w:sz="0" w:space="0" w:color="auto"/>
        <w:bottom w:val="none" w:sz="0" w:space="0" w:color="auto"/>
        <w:right w:val="none" w:sz="0" w:space="0" w:color="auto"/>
      </w:divBdr>
    </w:div>
    <w:div w:id="1893080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regina.surber\AppData\Roaming\Microsoft\Templates\Meeting%20minute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Meeting minutes</Template>
  <TotalTime>147</TotalTime>
  <Pages>3</Pages>
  <Words>1005</Words>
  <Characters>5730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Microsoft Corporation</Company>
  <LinksUpToDate>false</LinksUpToDate>
  <CharactersWithSpaces>6722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Regina Surber</dc:creator>
  <cp:lastModifiedBy>Amanda Wood</cp:lastModifiedBy>
  <cp:revision>9</cp:revision>
  <cp:lastPrinted>2016-08-25T13:28:00Z</cp:lastPrinted>
  <dcterms:created xsi:type="dcterms:W3CDTF">2016-08-25T12:50:00Z</dcterms:created>
  <dcterms:modified xsi:type="dcterms:W3CDTF">2016-08-26T14:46:00Z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TC010184111033</vt:lpwstr>
  </property>
</Properties>
</file>