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0" w:type="dxa"/>
        <w:jc w:val="center"/>
        <w:tblLayout w:type="fixed"/>
        <w:tblCellMar>
          <w:top w:w="14" w:type="dxa"/>
          <w:left w:w="86" w:type="dxa"/>
          <w:bottom w:w="14" w:type="dxa"/>
          <w:right w:w="86" w:type="dxa"/>
        </w:tblCellMar>
        <w:tblLook w:val="0000" w:firstRow="0" w:lastRow="0" w:firstColumn="0" w:lastColumn="0" w:noHBand="0" w:noVBand="0"/>
      </w:tblPr>
      <w:tblGrid>
        <w:gridCol w:w="1753"/>
        <w:gridCol w:w="1890"/>
        <w:gridCol w:w="90"/>
        <w:gridCol w:w="2350"/>
        <w:gridCol w:w="931"/>
        <w:gridCol w:w="943"/>
        <w:gridCol w:w="3246"/>
        <w:gridCol w:w="7"/>
      </w:tblGrid>
      <w:tr w:rsidR="00E43BAB" w:rsidRPr="00EC37E9" w:rsidTr="003421F9">
        <w:trPr>
          <w:trHeight w:val="526"/>
          <w:jc w:val="center"/>
        </w:trPr>
        <w:tc>
          <w:tcPr>
            <w:tcW w:w="11210" w:type="dxa"/>
            <w:gridSpan w:val="8"/>
            <w:shd w:val="clear" w:color="auto" w:fill="auto"/>
            <w:tcMar>
              <w:left w:w="0" w:type="dxa"/>
            </w:tcMar>
            <w:vAlign w:val="center"/>
          </w:tcPr>
          <w:p w:rsidR="00E43BAB" w:rsidRPr="00F343FB" w:rsidRDefault="00A94530" w:rsidP="00B86EE6">
            <w:pPr>
              <w:pStyle w:val="Heading1"/>
              <w:rPr>
                <w:rFonts w:ascii="Times New Roman" w:hAnsi="Times New Roman"/>
                <w:sz w:val="36"/>
              </w:rPr>
            </w:pPr>
            <w:r w:rsidRPr="00F343FB">
              <w:rPr>
                <w:rFonts w:ascii="Times New Roman" w:hAnsi="Times New Roman"/>
                <w:sz w:val="36"/>
              </w:rPr>
              <w:t xml:space="preserve">  </w:t>
            </w:r>
            <w:r w:rsidR="001B37FC" w:rsidRPr="00F343FB">
              <w:rPr>
                <w:rFonts w:ascii="Times New Roman" w:hAnsi="Times New Roman"/>
                <w:sz w:val="36"/>
              </w:rPr>
              <w:t>Gaps Governance Committee</w:t>
            </w:r>
            <w:r w:rsidR="00556A12" w:rsidRPr="00F343FB">
              <w:rPr>
                <w:rFonts w:ascii="Times New Roman" w:hAnsi="Times New Roman"/>
                <w:sz w:val="36"/>
              </w:rPr>
              <w:t xml:space="preserve"> Meeting</w:t>
            </w:r>
            <w:r w:rsidR="000C7E9B" w:rsidRPr="00F343FB">
              <w:rPr>
                <w:rFonts w:ascii="Times New Roman" w:hAnsi="Times New Roman"/>
                <w:sz w:val="36"/>
              </w:rPr>
              <w:t xml:space="preserve"> (</w:t>
            </w:r>
            <w:r w:rsidR="00B86EE6">
              <w:rPr>
                <w:rFonts w:ascii="Times New Roman" w:hAnsi="Times New Roman"/>
                <w:i/>
                <w:sz w:val="36"/>
              </w:rPr>
              <w:t>March 2016</w:t>
            </w:r>
            <w:r w:rsidR="00385CFB" w:rsidRPr="00F343FB">
              <w:rPr>
                <w:rFonts w:ascii="Times New Roman" w:hAnsi="Times New Roman"/>
                <w:i/>
                <w:sz w:val="36"/>
              </w:rPr>
              <w:t xml:space="preserve"> Minutes</w:t>
            </w:r>
            <w:r w:rsidR="000C7E9B" w:rsidRPr="00F343FB">
              <w:rPr>
                <w:rFonts w:ascii="Times New Roman" w:hAnsi="Times New Roman"/>
                <w:sz w:val="36"/>
              </w:rPr>
              <w:t>)</w:t>
            </w:r>
          </w:p>
        </w:tc>
      </w:tr>
      <w:tr w:rsidR="00E43BAB" w:rsidRPr="00EC37E9" w:rsidTr="00583181">
        <w:trPr>
          <w:trHeight w:val="274"/>
          <w:jc w:val="center"/>
        </w:trPr>
        <w:tc>
          <w:tcPr>
            <w:tcW w:w="3643" w:type="dxa"/>
            <w:gridSpan w:val="2"/>
            <w:shd w:val="clear" w:color="auto" w:fill="auto"/>
            <w:tcMar>
              <w:left w:w="0" w:type="dxa"/>
            </w:tcMar>
            <w:vAlign w:val="center"/>
          </w:tcPr>
          <w:p w:rsidR="00E43BAB" w:rsidRPr="00EC37E9" w:rsidRDefault="00E43BAB" w:rsidP="005052C5">
            <w:pPr>
              <w:pStyle w:val="Heading3"/>
              <w:rPr>
                <w:rFonts w:ascii="Times New Roman" w:hAnsi="Times New Roman"/>
              </w:rPr>
            </w:pPr>
            <w:r w:rsidRPr="00EC37E9">
              <w:rPr>
                <w:rFonts w:ascii="Times New Roman" w:hAnsi="Times New Roman"/>
              </w:rPr>
              <w:t>Minutes</w:t>
            </w:r>
            <w:r w:rsidR="007F15DA" w:rsidRPr="00EC37E9">
              <w:rPr>
                <w:rFonts w:ascii="Times New Roman" w:hAnsi="Times New Roman"/>
              </w:rPr>
              <w:t xml:space="preserve"> </w:t>
            </w:r>
          </w:p>
        </w:tc>
        <w:tc>
          <w:tcPr>
            <w:tcW w:w="2440" w:type="dxa"/>
            <w:gridSpan w:val="2"/>
            <w:shd w:val="clear" w:color="auto" w:fill="auto"/>
            <w:tcMar>
              <w:left w:w="0" w:type="dxa"/>
            </w:tcMar>
            <w:vAlign w:val="center"/>
          </w:tcPr>
          <w:p w:rsidR="008B4FB1" w:rsidRPr="00EC37E9" w:rsidRDefault="00A52057"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Date:</w:t>
            </w:r>
            <w:r w:rsidR="009C22CD" w:rsidRPr="00EC37E9">
              <w:rPr>
                <w:rFonts w:ascii="Times New Roman" w:hAnsi="Times New Roman"/>
              </w:rPr>
              <w:t xml:space="preserve"> </w:t>
            </w:r>
            <w:r w:rsidR="00202483">
              <w:rPr>
                <w:rFonts w:ascii="Times New Roman" w:hAnsi="Times New Roman"/>
              </w:rPr>
              <w:t>March 2 2016</w:t>
            </w:r>
          </w:p>
          <w:p w:rsidR="00E43BAB" w:rsidRPr="00EC37E9" w:rsidRDefault="007F15DA"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 xml:space="preserve">Type: </w:t>
            </w:r>
            <w:r w:rsidR="000C7E9B" w:rsidRPr="00EC37E9">
              <w:rPr>
                <w:rFonts w:ascii="Times New Roman" w:hAnsi="Times New Roman"/>
              </w:rPr>
              <w:t>scheduled</w:t>
            </w:r>
          </w:p>
          <w:p w:rsidR="007F15DA" w:rsidRPr="00EC37E9" w:rsidRDefault="007F15DA" w:rsidP="00202483">
            <w:pPr>
              <w:rPr>
                <w:rFonts w:ascii="Times New Roman" w:hAnsi="Times New Roman"/>
              </w:rPr>
            </w:pPr>
            <w:r w:rsidRPr="00EC37E9">
              <w:rPr>
                <w:rFonts w:ascii="Times New Roman" w:hAnsi="Times New Roman"/>
              </w:rPr>
              <w:t>TIME</w:t>
            </w:r>
            <w:r w:rsidR="0055664D" w:rsidRPr="00EC37E9">
              <w:rPr>
                <w:rFonts w:ascii="Times New Roman" w:hAnsi="Times New Roman"/>
              </w:rPr>
              <w:t xml:space="preserve">: </w:t>
            </w:r>
            <w:r w:rsidR="00202483">
              <w:rPr>
                <w:rFonts w:ascii="Times New Roman" w:hAnsi="Times New Roman"/>
              </w:rPr>
              <w:t>1:00-3:00 pm</w:t>
            </w:r>
          </w:p>
        </w:tc>
        <w:tc>
          <w:tcPr>
            <w:tcW w:w="1874" w:type="dxa"/>
            <w:gridSpan w:val="2"/>
            <w:shd w:val="clear" w:color="auto" w:fill="auto"/>
            <w:tcMar>
              <w:left w:w="0" w:type="dxa"/>
            </w:tcMar>
            <w:vAlign w:val="center"/>
          </w:tcPr>
          <w:p w:rsidR="00E43BAB" w:rsidRPr="00EC37E9" w:rsidRDefault="00E43BAB" w:rsidP="005052C5">
            <w:pPr>
              <w:pStyle w:val="Heading4"/>
              <w:framePr w:hSpace="0" w:wrap="auto" w:vAnchor="margin" w:hAnchor="text" w:xAlign="left" w:yAlign="inline"/>
              <w:suppressOverlap w:val="0"/>
              <w:rPr>
                <w:rFonts w:ascii="Times New Roman" w:hAnsi="Times New Roman"/>
              </w:rPr>
            </w:pPr>
          </w:p>
        </w:tc>
        <w:tc>
          <w:tcPr>
            <w:tcW w:w="3253" w:type="dxa"/>
            <w:gridSpan w:val="2"/>
            <w:shd w:val="clear" w:color="auto" w:fill="auto"/>
            <w:tcMar>
              <w:left w:w="0" w:type="dxa"/>
            </w:tcMar>
            <w:vAlign w:val="center"/>
          </w:tcPr>
          <w:p w:rsidR="00E43BAB" w:rsidRPr="00EC37E9" w:rsidRDefault="0055664D" w:rsidP="00202483">
            <w:pPr>
              <w:pStyle w:val="Heading5"/>
              <w:rPr>
                <w:rFonts w:ascii="Times New Roman" w:hAnsi="Times New Roman"/>
              </w:rPr>
            </w:pPr>
            <w:r w:rsidRPr="00EC37E9">
              <w:rPr>
                <w:rFonts w:ascii="Times New Roman" w:hAnsi="Times New Roman"/>
              </w:rPr>
              <w:t>Location:</w:t>
            </w:r>
            <w:r w:rsidR="000C7E9B" w:rsidRPr="00EC37E9">
              <w:rPr>
                <w:rFonts w:ascii="Times New Roman" w:hAnsi="Times New Roman"/>
              </w:rPr>
              <w:t xml:space="preserve"> </w:t>
            </w:r>
            <w:r w:rsidR="00202483">
              <w:rPr>
                <w:rFonts w:ascii="Times New Roman" w:hAnsi="Times New Roman"/>
              </w:rPr>
              <w:t>Randee rogers Training center</w:t>
            </w:r>
            <w:r w:rsidR="00FF29E5" w:rsidRPr="00EC37E9">
              <w:rPr>
                <w:rFonts w:ascii="Times New Roman" w:hAnsi="Times New Roman"/>
              </w:rPr>
              <w:t xml:space="preserve"> </w:t>
            </w:r>
          </w:p>
        </w:tc>
      </w:tr>
      <w:tr w:rsidR="00E43BAB" w:rsidRPr="00EC37E9" w:rsidTr="00583181">
        <w:trPr>
          <w:trHeight w:val="229"/>
          <w:jc w:val="center"/>
        </w:trPr>
        <w:tc>
          <w:tcPr>
            <w:tcW w:w="11210" w:type="dxa"/>
            <w:gridSpan w:val="8"/>
            <w:shd w:val="clear" w:color="auto" w:fill="auto"/>
            <w:tcMar>
              <w:left w:w="0" w:type="dxa"/>
            </w:tcMar>
            <w:vAlign w:val="center"/>
          </w:tcPr>
          <w:p w:rsidR="00E43BAB" w:rsidRPr="00EC37E9" w:rsidRDefault="00E43BAB" w:rsidP="005052C5">
            <w:pPr>
              <w:rPr>
                <w:rFonts w:ascii="Times New Roman" w:hAnsi="Times New Roman"/>
              </w:rPr>
            </w:pP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Facilitator</w:t>
            </w:r>
          </w:p>
        </w:tc>
        <w:tc>
          <w:tcPr>
            <w:tcW w:w="9457" w:type="dxa"/>
            <w:gridSpan w:val="7"/>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202483" w:rsidP="00DD11FA">
            <w:pPr>
              <w:rPr>
                <w:rFonts w:ascii="Times New Roman" w:hAnsi="Times New Roman"/>
                <w:sz w:val="20"/>
                <w:szCs w:val="20"/>
              </w:rPr>
            </w:pPr>
            <w:r>
              <w:rPr>
                <w:rFonts w:ascii="Times New Roman" w:hAnsi="Times New Roman"/>
                <w:sz w:val="20"/>
                <w:szCs w:val="20"/>
              </w:rPr>
              <w:t>Erik Cole</w:t>
            </w: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taker of minutes</w:t>
            </w:r>
          </w:p>
        </w:tc>
        <w:tc>
          <w:tcPr>
            <w:tcW w:w="9457" w:type="dxa"/>
            <w:gridSpan w:val="7"/>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C7E9B" w:rsidP="00DD11FA">
            <w:pPr>
              <w:rPr>
                <w:rFonts w:ascii="Times New Roman" w:hAnsi="Times New Roman"/>
                <w:sz w:val="20"/>
                <w:szCs w:val="20"/>
              </w:rPr>
            </w:pPr>
            <w:r w:rsidRPr="00EC37E9">
              <w:rPr>
                <w:rFonts w:ascii="Times New Roman" w:hAnsi="Times New Roman"/>
                <w:sz w:val="20"/>
                <w:szCs w:val="20"/>
              </w:rPr>
              <w:t>Amanda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Attendees</w:t>
            </w:r>
          </w:p>
        </w:tc>
        <w:tc>
          <w:tcPr>
            <w:tcW w:w="9457" w:type="dxa"/>
            <w:gridSpan w:val="7"/>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Default="00202483" w:rsidP="00F5674F">
            <w:pPr>
              <w:spacing w:line="276" w:lineRule="auto"/>
              <w:rPr>
                <w:rFonts w:ascii="Times New Roman" w:hAnsi="Times New Roman"/>
                <w:sz w:val="20"/>
                <w:szCs w:val="20"/>
              </w:rPr>
            </w:pPr>
            <w:r>
              <w:rPr>
                <w:rFonts w:ascii="Times New Roman" w:hAnsi="Times New Roman"/>
                <w:sz w:val="20"/>
                <w:szCs w:val="20"/>
              </w:rPr>
              <w:t>Amanda Wood, Suzie Tolmie, Erik Cole, Will Connelly, Rachel Hester, Clarkton Harrison, Trish Davis, Beth Shinn, Angela Hubbard, Treva Gilligan, Daryl Murray, Catherine Knowles</w:t>
            </w:r>
          </w:p>
          <w:p w:rsidR="00202483" w:rsidRPr="00EC37E9" w:rsidRDefault="00202483" w:rsidP="00F5674F">
            <w:pPr>
              <w:spacing w:line="276" w:lineRule="auto"/>
              <w:rPr>
                <w:rFonts w:ascii="Times New Roman" w:hAnsi="Times New Roman"/>
                <w:sz w:val="20"/>
                <w:szCs w:val="20"/>
              </w:rPr>
            </w:pPr>
            <w:r>
              <w:rPr>
                <w:rFonts w:ascii="Times New Roman" w:hAnsi="Times New Roman"/>
                <w:sz w:val="20"/>
                <w:szCs w:val="20"/>
              </w:rPr>
              <w:t>*Steve Reiter (non-member)</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absent members</w:t>
            </w:r>
          </w:p>
        </w:tc>
        <w:tc>
          <w:tcPr>
            <w:tcW w:w="9457" w:type="dxa"/>
            <w:gridSpan w:val="7"/>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F343FB" w:rsidP="00A92599">
            <w:pPr>
              <w:spacing w:line="276" w:lineRule="auto"/>
              <w:rPr>
                <w:rFonts w:ascii="Times New Roman" w:eastAsiaTheme="minorHAnsi" w:hAnsi="Times New Roman"/>
                <w:spacing w:val="0"/>
                <w:sz w:val="20"/>
                <w:szCs w:val="20"/>
              </w:rPr>
            </w:pPr>
            <w:r>
              <w:rPr>
                <w:rFonts w:ascii="Times New Roman" w:eastAsiaTheme="minorHAnsi" w:hAnsi="Times New Roman"/>
                <w:spacing w:val="0"/>
                <w:sz w:val="20"/>
                <w:szCs w:val="20"/>
              </w:rPr>
              <w:t>Cara Robinson</w:t>
            </w:r>
          </w:p>
        </w:tc>
      </w:tr>
      <w:tr w:rsidR="000C7E9B" w:rsidRPr="00EC37E9" w:rsidTr="00583181">
        <w:trPr>
          <w:trHeight w:val="432"/>
          <w:jc w:val="center"/>
        </w:trPr>
        <w:tc>
          <w:tcPr>
            <w:tcW w:w="11210" w:type="dxa"/>
            <w:gridSpan w:val="8"/>
            <w:tcBorders>
              <w:top w:val="single" w:sz="4" w:space="0" w:color="C0C0C0"/>
            </w:tcBorders>
            <w:shd w:val="clear" w:color="auto" w:fill="auto"/>
            <w:vAlign w:val="center"/>
          </w:tcPr>
          <w:p w:rsidR="000C7E9B" w:rsidRPr="00EC37E9" w:rsidRDefault="000C7E9B" w:rsidP="005052C5">
            <w:pPr>
              <w:rPr>
                <w:rFonts w:ascii="Times New Roman" w:hAnsi="Times New Roman"/>
              </w:rPr>
            </w:pPr>
          </w:p>
        </w:tc>
      </w:tr>
      <w:tr w:rsidR="000C7E9B" w:rsidRPr="00EC37E9" w:rsidTr="00583181">
        <w:trPr>
          <w:trHeight w:val="360"/>
          <w:jc w:val="center"/>
        </w:trPr>
        <w:tc>
          <w:tcPr>
            <w:tcW w:w="11210" w:type="dxa"/>
            <w:gridSpan w:val="8"/>
            <w:shd w:val="clear" w:color="auto" w:fill="auto"/>
            <w:tcMar>
              <w:left w:w="0" w:type="dxa"/>
            </w:tcMar>
            <w:vAlign w:val="center"/>
          </w:tcPr>
          <w:p w:rsidR="000C7E9B" w:rsidRPr="00EC37E9" w:rsidRDefault="000C7E9B" w:rsidP="005052C5">
            <w:pPr>
              <w:pStyle w:val="Heading2"/>
              <w:rPr>
                <w:rFonts w:ascii="Times New Roman" w:hAnsi="Times New Roman"/>
              </w:rPr>
            </w:pPr>
            <w:bookmarkStart w:id="0" w:name="MinuteTopic"/>
            <w:bookmarkEnd w:id="0"/>
            <w:r w:rsidRPr="00EC37E9">
              <w:rPr>
                <w:rFonts w:ascii="Times New Roman" w:hAnsi="Times New Roman"/>
              </w:rPr>
              <w:t>Agenda topics</w:t>
            </w:r>
          </w:p>
        </w:tc>
      </w:tr>
      <w:tr w:rsidR="000C7E9B" w:rsidRPr="00EC37E9" w:rsidTr="00583181">
        <w:trPr>
          <w:trHeight w:val="360"/>
          <w:jc w:val="center"/>
        </w:trPr>
        <w:tc>
          <w:tcPr>
            <w:tcW w:w="3643" w:type="dxa"/>
            <w:gridSpan w:val="2"/>
            <w:tcBorders>
              <w:bottom w:val="single" w:sz="12" w:space="0" w:color="999999"/>
            </w:tcBorders>
            <w:shd w:val="clear" w:color="auto" w:fill="auto"/>
            <w:tcMar>
              <w:left w:w="0" w:type="dxa"/>
            </w:tcMar>
            <w:vAlign w:val="center"/>
          </w:tcPr>
          <w:p w:rsidR="000C7E9B" w:rsidRPr="000568D2" w:rsidRDefault="00202483" w:rsidP="005840FB">
            <w:pPr>
              <w:pStyle w:val="Heading4"/>
              <w:framePr w:hSpace="0" w:wrap="auto" w:vAnchor="margin" w:hAnchor="text" w:xAlign="left" w:yAlign="inline"/>
              <w:numPr>
                <w:ilvl w:val="0"/>
                <w:numId w:val="1"/>
              </w:numPr>
              <w:suppressOverlap w:val="0"/>
              <w:rPr>
                <w:rFonts w:ascii="Times New Roman" w:hAnsi="Times New Roman"/>
              </w:rPr>
            </w:pPr>
            <w:bookmarkStart w:id="1" w:name="MinuteItems"/>
            <w:bookmarkStart w:id="2" w:name="MinuteTopicSection"/>
            <w:bookmarkEnd w:id="1"/>
            <w:r>
              <w:rPr>
                <w:rFonts w:ascii="Times New Roman" w:hAnsi="Times New Roman"/>
              </w:rPr>
              <w:t>December Minutes Approved</w:t>
            </w:r>
            <w:r w:rsidR="000700B9" w:rsidRPr="000568D2">
              <w:rPr>
                <w:rFonts w:ascii="Times New Roman" w:hAnsi="Times New Roman"/>
              </w:rPr>
              <w:t xml:space="preserve"> </w:t>
            </w:r>
          </w:p>
        </w:tc>
        <w:tc>
          <w:tcPr>
            <w:tcW w:w="4314" w:type="dxa"/>
            <w:gridSpan w:val="4"/>
            <w:tcBorders>
              <w:bottom w:val="single" w:sz="12" w:space="0" w:color="999999"/>
            </w:tcBorders>
            <w:shd w:val="clear" w:color="auto" w:fill="auto"/>
            <w:tcMar>
              <w:left w:w="0" w:type="dxa"/>
            </w:tcMar>
            <w:vAlign w:val="center"/>
          </w:tcPr>
          <w:p w:rsidR="000C7E9B" w:rsidRPr="000568D2" w:rsidRDefault="00202483" w:rsidP="005052C5">
            <w:pPr>
              <w:pStyle w:val="Heading4"/>
              <w:framePr w:hSpace="0" w:wrap="auto" w:vAnchor="margin" w:hAnchor="text" w:xAlign="left" w:yAlign="inline"/>
              <w:suppressOverlap w:val="0"/>
              <w:rPr>
                <w:rFonts w:ascii="Times New Roman" w:hAnsi="Times New Roman"/>
              </w:rPr>
            </w:pPr>
            <w:r>
              <w:rPr>
                <w:rFonts w:ascii="Times New Roman" w:hAnsi="Times New Roman"/>
              </w:rPr>
              <w:t>*Correction to members present (Catherine Knowles listed twice)</w:t>
            </w:r>
          </w:p>
        </w:tc>
        <w:tc>
          <w:tcPr>
            <w:tcW w:w="3253" w:type="dxa"/>
            <w:gridSpan w:val="2"/>
            <w:tcBorders>
              <w:bottom w:val="single" w:sz="12" w:space="0" w:color="999999"/>
            </w:tcBorders>
            <w:shd w:val="clear" w:color="auto" w:fill="auto"/>
            <w:tcMar>
              <w:left w:w="0" w:type="dxa"/>
            </w:tcMar>
            <w:vAlign w:val="center"/>
          </w:tcPr>
          <w:p w:rsidR="000C7E9B" w:rsidRPr="00EC37E9" w:rsidRDefault="005840FB" w:rsidP="005052C5">
            <w:pPr>
              <w:pStyle w:val="Heading5"/>
              <w:rPr>
                <w:rFonts w:ascii="Times New Roman" w:hAnsi="Times New Roman"/>
              </w:rPr>
            </w:pPr>
            <w:r w:rsidRPr="00EC37E9">
              <w:rPr>
                <w:rFonts w:ascii="Times New Roman" w:hAnsi="Times New Roman"/>
                <w:sz w:val="18"/>
                <w:szCs w:val="18"/>
              </w:rPr>
              <w:t>Suzie TolmIE</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bookmarkStart w:id="3" w:name="MinuteDiscussion"/>
            <w:bookmarkEnd w:id="3"/>
            <w:r w:rsidRPr="000568D2">
              <w:rPr>
                <w:rFonts w:ascii="Times New Roman" w:hAnsi="Times New Roman"/>
                <w:color w:val="auto"/>
                <w:sz w:val="18"/>
                <w:szCs w:val="18"/>
              </w:rPr>
              <w:t>motion</w:t>
            </w:r>
          </w:p>
        </w:tc>
        <w:tc>
          <w:tcPr>
            <w:tcW w:w="9457" w:type="dxa"/>
            <w:gridSpan w:val="7"/>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0568D2" w:rsidRDefault="00202483" w:rsidP="00202483">
            <w:pPr>
              <w:rPr>
                <w:rFonts w:ascii="Times New Roman" w:hAnsi="Times New Roman"/>
                <w:sz w:val="18"/>
              </w:rPr>
            </w:pPr>
            <w:r>
              <w:rPr>
                <w:rFonts w:ascii="Times New Roman" w:hAnsi="Times New Roman"/>
                <w:sz w:val="18"/>
              </w:rPr>
              <w:t>Two</w:t>
            </w:r>
            <w:r w:rsidR="00685A6F" w:rsidRPr="000568D2">
              <w:rPr>
                <w:rFonts w:ascii="Times New Roman" w:hAnsi="Times New Roman"/>
                <w:sz w:val="18"/>
              </w:rPr>
              <w:t xml:space="preserve"> motion</w:t>
            </w:r>
            <w:r>
              <w:rPr>
                <w:rFonts w:ascii="Times New Roman" w:hAnsi="Times New Roman"/>
                <w:sz w:val="18"/>
              </w:rPr>
              <w:t>s</w:t>
            </w:r>
            <w:r w:rsidR="00685A6F" w:rsidRPr="000568D2">
              <w:rPr>
                <w:rFonts w:ascii="Times New Roman" w:hAnsi="Times New Roman"/>
                <w:sz w:val="18"/>
              </w:rPr>
              <w:t xml:space="preserve"> to approve</w:t>
            </w:r>
            <w:r w:rsidR="005B303B" w:rsidRPr="000568D2">
              <w:rPr>
                <w:rFonts w:ascii="Times New Roman" w:hAnsi="Times New Roman"/>
                <w:sz w:val="18"/>
              </w:rPr>
              <w:t xml:space="preserve"> </w:t>
            </w:r>
            <w:r>
              <w:rPr>
                <w:rFonts w:ascii="Times New Roman" w:hAnsi="Times New Roman"/>
                <w:sz w:val="18"/>
              </w:rPr>
              <w:t>December</w:t>
            </w:r>
            <w:r w:rsidR="00C4165B" w:rsidRPr="000568D2">
              <w:rPr>
                <w:rFonts w:ascii="Times New Roman" w:hAnsi="Times New Roman"/>
                <w:sz w:val="18"/>
              </w:rPr>
              <w:t xml:space="preserve"> 2015</w:t>
            </w:r>
            <w:r w:rsidR="00685A6F" w:rsidRPr="000568D2">
              <w:rPr>
                <w:rFonts w:ascii="Times New Roman" w:hAnsi="Times New Roman"/>
                <w:sz w:val="18"/>
              </w:rPr>
              <w:t xml:space="preserve"> Minutes.</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bookmarkStart w:id="4" w:name="MinuteConclusion"/>
            <w:bookmarkEnd w:id="4"/>
            <w:r w:rsidRPr="000568D2">
              <w:rPr>
                <w:rFonts w:ascii="Times New Roman" w:hAnsi="Times New Roman"/>
                <w:color w:val="auto"/>
                <w:szCs w:val="18"/>
              </w:rPr>
              <w:t>Approved/denied</w:t>
            </w:r>
          </w:p>
        </w:tc>
        <w:tc>
          <w:tcPr>
            <w:tcW w:w="9457" w:type="dxa"/>
            <w:gridSpan w:val="7"/>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0568D2" w:rsidRDefault="00AF3867" w:rsidP="005052C5">
            <w:pPr>
              <w:rPr>
                <w:rFonts w:ascii="Times New Roman" w:hAnsi="Times New Roman"/>
                <w:b/>
                <w:sz w:val="18"/>
              </w:rPr>
            </w:pPr>
            <w:r w:rsidRPr="000568D2">
              <w:rPr>
                <w:rFonts w:ascii="Times New Roman" w:hAnsi="Times New Roman"/>
                <w:b/>
                <w:sz w:val="18"/>
              </w:rPr>
              <w:t>Approved.</w:t>
            </w:r>
            <w:r w:rsidR="00C4165B" w:rsidRPr="000568D2">
              <w:rPr>
                <w:rFonts w:ascii="Times New Roman" w:hAnsi="Times New Roman"/>
                <w:b/>
                <w:sz w:val="18"/>
              </w:rPr>
              <w:t xml:space="preserve"> </w:t>
            </w:r>
          </w:p>
        </w:tc>
      </w:tr>
      <w:tr w:rsidR="000C7E9B" w:rsidRPr="00EC37E9" w:rsidTr="00583181">
        <w:trPr>
          <w:trHeight w:hRule="exact" w:val="115"/>
          <w:jc w:val="center"/>
        </w:trPr>
        <w:tc>
          <w:tcPr>
            <w:tcW w:w="11210" w:type="dxa"/>
            <w:gridSpan w:val="8"/>
            <w:tcBorders>
              <w:top w:val="single" w:sz="4" w:space="0" w:color="C0C0C0"/>
            </w:tcBorders>
            <w:shd w:val="clear" w:color="auto" w:fill="auto"/>
            <w:vAlign w:val="center"/>
          </w:tcPr>
          <w:p w:rsidR="000C7E9B" w:rsidRPr="000568D2" w:rsidRDefault="000C7E9B" w:rsidP="005052C5">
            <w:pPr>
              <w:rPr>
                <w:rFonts w:ascii="Times New Roman" w:hAnsi="Times New Roman"/>
                <w:sz w:val="18"/>
              </w:rPr>
            </w:pPr>
            <w:bookmarkStart w:id="5" w:name="MinuteActionItems"/>
            <w:bookmarkEnd w:id="2"/>
            <w:bookmarkEnd w:id="5"/>
          </w:p>
        </w:tc>
      </w:tr>
      <w:tr w:rsidR="000C7E9B" w:rsidRPr="00EC37E9" w:rsidTr="00583181">
        <w:trPr>
          <w:trHeight w:val="360"/>
          <w:jc w:val="center"/>
        </w:trPr>
        <w:tc>
          <w:tcPr>
            <w:tcW w:w="3643" w:type="dxa"/>
            <w:gridSpan w:val="2"/>
            <w:shd w:val="clear" w:color="auto" w:fill="auto"/>
            <w:tcMar>
              <w:left w:w="0" w:type="dxa"/>
            </w:tcMar>
            <w:vAlign w:val="center"/>
          </w:tcPr>
          <w:p w:rsidR="000C7E9B" w:rsidRPr="000568D2" w:rsidRDefault="00202483" w:rsidP="00373815">
            <w:pPr>
              <w:pStyle w:val="Heading4"/>
              <w:framePr w:hSpace="0" w:wrap="auto" w:vAnchor="margin" w:hAnchor="text" w:xAlign="left" w:yAlign="inline"/>
              <w:numPr>
                <w:ilvl w:val="0"/>
                <w:numId w:val="1"/>
              </w:numPr>
              <w:suppressOverlap w:val="0"/>
              <w:rPr>
                <w:rFonts w:ascii="Times New Roman" w:hAnsi="Times New Roman"/>
                <w:sz w:val="18"/>
                <w:szCs w:val="18"/>
              </w:rPr>
            </w:pPr>
            <w:bookmarkStart w:id="6" w:name="MinuteAdditional"/>
            <w:bookmarkEnd w:id="6"/>
            <w:r>
              <w:rPr>
                <w:rFonts w:ascii="Times New Roman" w:hAnsi="Times New Roman"/>
              </w:rPr>
              <w:t>ESG Funding</w:t>
            </w:r>
          </w:p>
        </w:tc>
        <w:tc>
          <w:tcPr>
            <w:tcW w:w="4314" w:type="dxa"/>
            <w:gridSpan w:val="4"/>
            <w:shd w:val="clear" w:color="auto" w:fill="auto"/>
            <w:tcMar>
              <w:left w:w="0" w:type="dxa"/>
            </w:tcMar>
            <w:vAlign w:val="center"/>
          </w:tcPr>
          <w:p w:rsidR="000C7E9B" w:rsidRPr="000568D2" w:rsidRDefault="000C7E9B" w:rsidP="005052C5">
            <w:pPr>
              <w:pStyle w:val="Heading4"/>
              <w:framePr w:hSpace="0" w:wrap="auto" w:vAnchor="margin" w:hAnchor="text" w:xAlign="left" w:yAlign="inline"/>
              <w:suppressOverlap w:val="0"/>
              <w:rPr>
                <w:rFonts w:ascii="Times New Roman" w:hAnsi="Times New Roman"/>
                <w:b/>
                <w:sz w:val="18"/>
                <w:szCs w:val="18"/>
              </w:rPr>
            </w:pPr>
          </w:p>
        </w:tc>
        <w:tc>
          <w:tcPr>
            <w:tcW w:w="3253" w:type="dxa"/>
            <w:gridSpan w:val="2"/>
            <w:shd w:val="clear" w:color="auto" w:fill="auto"/>
            <w:tcMar>
              <w:left w:w="0" w:type="dxa"/>
            </w:tcMar>
            <w:vAlign w:val="center"/>
          </w:tcPr>
          <w:p w:rsidR="000C7E9B" w:rsidRPr="00EC37E9" w:rsidRDefault="00202483" w:rsidP="005052C5">
            <w:pPr>
              <w:pStyle w:val="Heading5"/>
              <w:rPr>
                <w:rFonts w:ascii="Times New Roman" w:hAnsi="Times New Roman"/>
                <w:sz w:val="18"/>
                <w:szCs w:val="18"/>
              </w:rPr>
            </w:pPr>
            <w:r>
              <w:rPr>
                <w:rFonts w:ascii="Times New Roman" w:hAnsi="Times New Roman"/>
                <w:sz w:val="18"/>
                <w:szCs w:val="18"/>
              </w:rPr>
              <w:t>Suzie Tolmie</w:t>
            </w:r>
          </w:p>
        </w:tc>
      </w:tr>
      <w:tr w:rsidR="000C7E9B" w:rsidRPr="00EC37E9" w:rsidTr="00DD11FA">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DD11FA">
            <w:pPr>
              <w:pStyle w:val="AllCapsHeading"/>
              <w:rPr>
                <w:rFonts w:ascii="Times New Roman" w:hAnsi="Times New Roman"/>
                <w:color w:val="auto"/>
                <w:sz w:val="18"/>
                <w:szCs w:val="18"/>
              </w:rPr>
            </w:pPr>
            <w:r w:rsidRPr="000568D2">
              <w:rPr>
                <w:rFonts w:ascii="Times New Roman" w:hAnsi="Times New Roman"/>
                <w:color w:val="auto"/>
                <w:sz w:val="18"/>
                <w:szCs w:val="18"/>
              </w:rPr>
              <w:t>Discussion</w:t>
            </w:r>
          </w:p>
        </w:tc>
        <w:tc>
          <w:tcPr>
            <w:tcW w:w="9457" w:type="dxa"/>
            <w:gridSpan w:val="7"/>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DE31DF" w:rsidRDefault="00202483" w:rsidP="000700B9">
            <w:pPr>
              <w:rPr>
                <w:rFonts w:ascii="Times New Roman" w:hAnsi="Times New Roman"/>
                <w:sz w:val="18"/>
              </w:rPr>
            </w:pPr>
            <w:r w:rsidRPr="00DE31DF">
              <w:rPr>
                <w:rFonts w:ascii="Times New Roman" w:hAnsi="Times New Roman"/>
                <w:color w:val="404040" w:themeColor="text1" w:themeTint="BF"/>
                <w:sz w:val="22"/>
              </w:rPr>
              <w:t xml:space="preserve">MDHA </w:t>
            </w:r>
            <w:r w:rsidR="00DE31DF">
              <w:rPr>
                <w:rFonts w:ascii="Times New Roman" w:hAnsi="Times New Roman"/>
                <w:color w:val="404040" w:themeColor="text1" w:themeTint="BF"/>
                <w:sz w:val="22"/>
              </w:rPr>
              <w:t>RFP &amp; THDA RFP</w:t>
            </w:r>
          </w:p>
        </w:tc>
      </w:tr>
      <w:tr w:rsidR="000C7E9B" w:rsidRPr="00EC37E9" w:rsidTr="000C7E9B">
        <w:trPr>
          <w:trHeight w:val="496"/>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r w:rsidRPr="000568D2">
              <w:rPr>
                <w:rFonts w:ascii="Times New Roman" w:hAnsi="Times New Roman"/>
                <w:color w:val="auto"/>
                <w:sz w:val="18"/>
                <w:szCs w:val="18"/>
              </w:rPr>
              <w:t>Conclusion</w:t>
            </w:r>
          </w:p>
        </w:tc>
        <w:tc>
          <w:tcPr>
            <w:tcW w:w="9457" w:type="dxa"/>
            <w:gridSpan w:val="7"/>
            <w:tcBorders>
              <w:top w:val="single" w:sz="12" w:space="0" w:color="999999"/>
              <w:left w:val="single" w:sz="4" w:space="0" w:color="C0C0C0"/>
              <w:bottom w:val="single" w:sz="4" w:space="0" w:color="C0C0C0"/>
              <w:right w:val="single" w:sz="4" w:space="0" w:color="C0C0C0"/>
            </w:tcBorders>
            <w:shd w:val="clear" w:color="auto" w:fill="auto"/>
            <w:vAlign w:val="bottom"/>
          </w:tcPr>
          <w:p w:rsidR="000568D2" w:rsidRDefault="00202483" w:rsidP="000568D2">
            <w:pPr>
              <w:pStyle w:val="ListParagraph"/>
              <w:numPr>
                <w:ilvl w:val="0"/>
                <w:numId w:val="20"/>
              </w:numPr>
              <w:rPr>
                <w:rFonts w:ascii="Times New Roman" w:hAnsi="Times New Roman"/>
                <w:sz w:val="20"/>
              </w:rPr>
            </w:pPr>
            <w:r>
              <w:rPr>
                <w:rFonts w:ascii="Times New Roman" w:hAnsi="Times New Roman"/>
                <w:sz w:val="20"/>
              </w:rPr>
              <w:t>Suzie Tolmie led the discussion on MDHA’s ESG RFP being released in the next few weeks. This also included an announcement that THDA’s deadline for applications for ESG funding in the next year is March 17</w:t>
            </w:r>
            <w:r w:rsidRPr="00202483">
              <w:rPr>
                <w:rFonts w:ascii="Times New Roman" w:hAnsi="Times New Roman"/>
                <w:sz w:val="20"/>
                <w:vertAlign w:val="superscript"/>
              </w:rPr>
              <w:t>th</w:t>
            </w:r>
            <w:r>
              <w:rPr>
                <w:rFonts w:ascii="Times New Roman" w:hAnsi="Times New Roman"/>
                <w:sz w:val="20"/>
              </w:rPr>
              <w:t>, 2016. MDHA will be discussing options to include prevention as an eligible activity.</w:t>
            </w:r>
          </w:p>
          <w:p w:rsidR="00202483" w:rsidRDefault="00202483" w:rsidP="00202483">
            <w:pPr>
              <w:pStyle w:val="ListParagraph"/>
              <w:numPr>
                <w:ilvl w:val="0"/>
                <w:numId w:val="20"/>
              </w:numPr>
              <w:rPr>
                <w:rFonts w:ascii="Times New Roman" w:hAnsi="Times New Roman"/>
                <w:sz w:val="20"/>
              </w:rPr>
            </w:pPr>
            <w:r>
              <w:rPr>
                <w:rFonts w:ascii="Times New Roman" w:hAnsi="Times New Roman"/>
                <w:sz w:val="20"/>
              </w:rPr>
              <w:t xml:space="preserve">Suzie facilitated a local meeting for interested agencies in discussing the THDA ESG RFP. Conversations included possible collaborations between family providers and to streamline pieces of the application to reflect strategic planning efforts. </w:t>
            </w:r>
          </w:p>
          <w:p w:rsidR="00202483" w:rsidRPr="00202483" w:rsidRDefault="00202483" w:rsidP="00202483">
            <w:pPr>
              <w:pStyle w:val="ListParagraph"/>
              <w:numPr>
                <w:ilvl w:val="0"/>
                <w:numId w:val="20"/>
              </w:numPr>
              <w:rPr>
                <w:rFonts w:ascii="Times New Roman" w:hAnsi="Times New Roman"/>
                <w:sz w:val="20"/>
              </w:rPr>
            </w:pPr>
            <w:r>
              <w:rPr>
                <w:rFonts w:ascii="Times New Roman" w:hAnsi="Times New Roman"/>
                <w:sz w:val="20"/>
              </w:rPr>
              <w:t xml:space="preserve">Regulations for ESG funding do apply including caps on certain activities. </w:t>
            </w:r>
          </w:p>
          <w:p w:rsidR="000C7E9B" w:rsidRPr="000568D2" w:rsidRDefault="000C7E9B" w:rsidP="006B3180">
            <w:pPr>
              <w:pStyle w:val="ListParagraph"/>
              <w:ind w:left="0"/>
              <w:rPr>
                <w:rFonts w:ascii="Times New Roman" w:hAnsi="Times New Roman"/>
                <w:sz w:val="18"/>
              </w:rPr>
            </w:pPr>
          </w:p>
        </w:tc>
      </w:tr>
      <w:tr w:rsidR="00DE31DF" w:rsidRPr="00EC37E9" w:rsidTr="000C7E9B">
        <w:trPr>
          <w:trHeight w:val="496"/>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E31DF" w:rsidRPr="000568D2" w:rsidRDefault="00DE31DF" w:rsidP="005052C5">
            <w:pPr>
              <w:pStyle w:val="AllCapsHeading"/>
              <w:rPr>
                <w:rFonts w:ascii="Times New Roman" w:hAnsi="Times New Roman"/>
                <w:color w:val="auto"/>
                <w:sz w:val="18"/>
                <w:szCs w:val="18"/>
              </w:rPr>
            </w:pPr>
            <w:r>
              <w:rPr>
                <w:rFonts w:ascii="Times New Roman" w:hAnsi="Times New Roman"/>
                <w:color w:val="auto"/>
                <w:sz w:val="18"/>
                <w:szCs w:val="18"/>
              </w:rPr>
              <w:t>Topic</w:t>
            </w:r>
          </w:p>
        </w:tc>
        <w:tc>
          <w:tcPr>
            <w:tcW w:w="9457" w:type="dxa"/>
            <w:gridSpan w:val="7"/>
            <w:tcBorders>
              <w:top w:val="single" w:sz="12" w:space="0" w:color="999999"/>
              <w:left w:val="single" w:sz="4" w:space="0" w:color="C0C0C0"/>
              <w:bottom w:val="single" w:sz="4" w:space="0" w:color="C0C0C0"/>
              <w:right w:val="single" w:sz="4" w:space="0" w:color="C0C0C0"/>
            </w:tcBorders>
            <w:shd w:val="clear" w:color="auto" w:fill="auto"/>
            <w:vAlign w:val="bottom"/>
          </w:tcPr>
          <w:p w:rsidR="00DE31DF" w:rsidRPr="00DE31DF" w:rsidRDefault="00DE31DF" w:rsidP="00DE31DF">
            <w:pPr>
              <w:rPr>
                <w:rFonts w:ascii="Times New Roman" w:hAnsi="Times New Roman"/>
                <w:sz w:val="20"/>
              </w:rPr>
            </w:pPr>
            <w:r>
              <w:rPr>
                <w:rFonts w:ascii="Times New Roman" w:hAnsi="Times New Roman"/>
                <w:sz w:val="18"/>
              </w:rPr>
              <w:t>2016 CoC and System-level Plans</w:t>
            </w:r>
          </w:p>
        </w:tc>
      </w:tr>
      <w:tr w:rsidR="00DE31DF" w:rsidRPr="00EC37E9" w:rsidTr="00DE31DF">
        <w:trPr>
          <w:trHeight w:val="496"/>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E31DF" w:rsidRDefault="00DE31DF" w:rsidP="005052C5">
            <w:pPr>
              <w:pStyle w:val="AllCapsHeading"/>
              <w:rPr>
                <w:rFonts w:ascii="Times New Roman" w:hAnsi="Times New Roman"/>
                <w:color w:val="auto"/>
                <w:sz w:val="18"/>
                <w:szCs w:val="18"/>
              </w:rPr>
            </w:pPr>
            <w:r>
              <w:rPr>
                <w:rFonts w:ascii="Times New Roman" w:hAnsi="Times New Roman"/>
                <w:color w:val="auto"/>
                <w:sz w:val="18"/>
                <w:szCs w:val="18"/>
              </w:rPr>
              <w:t>Conclusion</w:t>
            </w:r>
          </w:p>
        </w:tc>
        <w:tc>
          <w:tcPr>
            <w:tcW w:w="9457" w:type="dxa"/>
            <w:gridSpan w:val="7"/>
            <w:tcBorders>
              <w:top w:val="single" w:sz="12" w:space="0" w:color="999999"/>
              <w:left w:val="single" w:sz="4" w:space="0" w:color="C0C0C0"/>
              <w:bottom w:val="single" w:sz="4" w:space="0" w:color="C0C0C0"/>
              <w:right w:val="single" w:sz="4" w:space="0" w:color="C0C0C0"/>
            </w:tcBorders>
            <w:shd w:val="clear" w:color="auto" w:fill="auto"/>
          </w:tcPr>
          <w:p w:rsidR="00DE31DF" w:rsidRDefault="00DE31DF" w:rsidP="00DE31DF">
            <w:pPr>
              <w:rPr>
                <w:rFonts w:ascii="Times New Roman" w:hAnsi="Times New Roman"/>
                <w:sz w:val="18"/>
              </w:rPr>
            </w:pPr>
            <w:r>
              <w:rPr>
                <w:rFonts w:ascii="Times New Roman" w:hAnsi="Times New Roman"/>
                <w:sz w:val="18"/>
              </w:rPr>
              <w:t>Members of the committee voted to develop (3) subcommittees to begin looking researching the committee’s structure:</w:t>
            </w:r>
          </w:p>
          <w:p w:rsidR="00DE31DF" w:rsidRDefault="00DE31DF" w:rsidP="00DE31DF">
            <w:pPr>
              <w:rPr>
                <w:rFonts w:ascii="Times New Roman" w:hAnsi="Times New Roman"/>
                <w:sz w:val="18"/>
              </w:rPr>
            </w:pPr>
          </w:p>
          <w:p w:rsidR="00DE31DF" w:rsidRDefault="00DE31DF" w:rsidP="00DE31DF">
            <w:pPr>
              <w:pStyle w:val="ListParagraph"/>
              <w:numPr>
                <w:ilvl w:val="0"/>
                <w:numId w:val="25"/>
              </w:numPr>
              <w:rPr>
                <w:rFonts w:ascii="Times New Roman" w:hAnsi="Times New Roman"/>
                <w:sz w:val="18"/>
              </w:rPr>
            </w:pPr>
            <w:r>
              <w:rPr>
                <w:rFonts w:ascii="Times New Roman" w:hAnsi="Times New Roman"/>
                <w:sz w:val="18"/>
              </w:rPr>
              <w:t>Working Group: CoC By-Law Review (Potential Members: Erik Cole)</w:t>
            </w:r>
          </w:p>
          <w:p w:rsidR="00DE31DF" w:rsidRDefault="00DE31DF" w:rsidP="00DE31DF">
            <w:pPr>
              <w:pStyle w:val="ListParagraph"/>
              <w:numPr>
                <w:ilvl w:val="0"/>
                <w:numId w:val="25"/>
              </w:numPr>
              <w:rPr>
                <w:rFonts w:ascii="Times New Roman" w:hAnsi="Times New Roman"/>
                <w:sz w:val="18"/>
              </w:rPr>
            </w:pPr>
            <w:r>
              <w:rPr>
                <w:rFonts w:ascii="Times New Roman" w:hAnsi="Times New Roman"/>
                <w:sz w:val="18"/>
              </w:rPr>
              <w:t xml:space="preserve">Working Group: Re-allocation </w:t>
            </w:r>
          </w:p>
          <w:p w:rsidR="00DE31DF" w:rsidRDefault="00DE31DF" w:rsidP="00DE31DF">
            <w:pPr>
              <w:pStyle w:val="ListParagraph"/>
              <w:numPr>
                <w:ilvl w:val="0"/>
                <w:numId w:val="25"/>
              </w:numPr>
              <w:rPr>
                <w:rFonts w:ascii="Times New Roman" w:hAnsi="Times New Roman"/>
                <w:sz w:val="18"/>
              </w:rPr>
            </w:pPr>
            <w:r>
              <w:rPr>
                <w:rFonts w:ascii="Times New Roman" w:hAnsi="Times New Roman"/>
                <w:sz w:val="18"/>
              </w:rPr>
              <w:t>Working Group: System-Level Performance (Potential Members: Beth Shinn + PEC Members)</w:t>
            </w:r>
          </w:p>
          <w:p w:rsidR="00DE31DF" w:rsidRDefault="00DE31DF" w:rsidP="00DE31DF">
            <w:pPr>
              <w:rPr>
                <w:rFonts w:ascii="Times New Roman" w:hAnsi="Times New Roman"/>
                <w:sz w:val="18"/>
              </w:rPr>
            </w:pPr>
          </w:p>
          <w:p w:rsidR="00DE31DF" w:rsidRPr="00DE31DF" w:rsidRDefault="00DE31DF" w:rsidP="00DE31DF">
            <w:pPr>
              <w:rPr>
                <w:rFonts w:ascii="Times New Roman" w:hAnsi="Times New Roman"/>
                <w:sz w:val="18"/>
              </w:rPr>
            </w:pPr>
            <w:r>
              <w:rPr>
                <w:rFonts w:ascii="Times New Roman" w:hAnsi="Times New Roman"/>
                <w:sz w:val="18"/>
              </w:rPr>
              <w:t xml:space="preserve">Additional topics to explore include current and or future membership. </w:t>
            </w:r>
          </w:p>
        </w:tc>
      </w:tr>
      <w:tr w:rsidR="000C7E9B" w:rsidRPr="00EC37E9" w:rsidTr="00FF29E5">
        <w:tblPrEx>
          <w:tblBorders>
            <w:bottom w:val="single" w:sz="12" w:space="0" w:color="999999"/>
          </w:tblBorders>
        </w:tblPrEx>
        <w:trPr>
          <w:gridAfter w:val="1"/>
          <w:wAfter w:w="7" w:type="dxa"/>
          <w:trHeight w:val="360"/>
          <w:jc w:val="center"/>
        </w:trPr>
        <w:tc>
          <w:tcPr>
            <w:tcW w:w="3733" w:type="dxa"/>
            <w:gridSpan w:val="3"/>
            <w:tcBorders>
              <w:top w:val="nil"/>
            </w:tcBorders>
            <w:shd w:val="clear" w:color="auto" w:fill="auto"/>
            <w:tcMar>
              <w:left w:w="0" w:type="dxa"/>
            </w:tcMar>
            <w:vAlign w:val="center"/>
          </w:tcPr>
          <w:p w:rsidR="000C7E9B" w:rsidRPr="000568D2" w:rsidRDefault="00202483" w:rsidP="00E46498">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Housing Crisis resolution</w:t>
            </w:r>
          </w:p>
        </w:tc>
        <w:tc>
          <w:tcPr>
            <w:tcW w:w="3281" w:type="dxa"/>
            <w:gridSpan w:val="2"/>
            <w:tcBorders>
              <w:top w:val="nil"/>
            </w:tcBorders>
            <w:shd w:val="clear" w:color="auto" w:fill="auto"/>
            <w:tcMar>
              <w:left w:w="0" w:type="dxa"/>
            </w:tcMar>
            <w:vAlign w:val="center"/>
          </w:tcPr>
          <w:p w:rsidR="000C7E9B" w:rsidRPr="000568D2" w:rsidRDefault="005840FB" w:rsidP="005840FB">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89" w:type="dxa"/>
            <w:gridSpan w:val="2"/>
            <w:tcBorders>
              <w:top w:val="nil"/>
            </w:tcBorders>
            <w:shd w:val="clear" w:color="auto" w:fill="auto"/>
            <w:tcMar>
              <w:left w:w="0" w:type="dxa"/>
            </w:tcMar>
            <w:vAlign w:val="center"/>
          </w:tcPr>
          <w:p w:rsidR="000C7E9B" w:rsidRPr="00EC37E9" w:rsidRDefault="00202483" w:rsidP="00495E0E">
            <w:pPr>
              <w:pStyle w:val="Heading5"/>
              <w:rPr>
                <w:rFonts w:ascii="Times New Roman" w:hAnsi="Times New Roman"/>
                <w:sz w:val="18"/>
                <w:szCs w:val="18"/>
              </w:rPr>
            </w:pPr>
            <w:r>
              <w:rPr>
                <w:rFonts w:ascii="Times New Roman" w:hAnsi="Times New Roman"/>
                <w:sz w:val="18"/>
                <w:szCs w:val="18"/>
              </w:rPr>
              <w:t>Will Connelly</w:t>
            </w:r>
          </w:p>
        </w:tc>
      </w:tr>
      <w:tr w:rsidR="000C7E9B" w:rsidRPr="00EC37E9" w:rsidTr="00C4165B">
        <w:trPr>
          <w:gridAfter w:val="1"/>
          <w:wAfter w:w="7" w:type="dxa"/>
          <w:trHeight w:val="1009"/>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E4591C">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450" w:type="dxa"/>
            <w:gridSpan w:val="6"/>
            <w:tcBorders>
              <w:top w:val="single" w:sz="12" w:space="0" w:color="999999"/>
              <w:left w:val="single" w:sz="4" w:space="0" w:color="C0C0C0"/>
              <w:bottom w:val="single" w:sz="4" w:space="0" w:color="C0C0C0"/>
              <w:right w:val="single" w:sz="4" w:space="0" w:color="C0C0C0"/>
            </w:tcBorders>
            <w:shd w:val="clear" w:color="auto" w:fill="auto"/>
            <w:vAlign w:val="center"/>
          </w:tcPr>
          <w:p w:rsidR="005D14CF" w:rsidRDefault="00202483" w:rsidP="000568D2">
            <w:pPr>
              <w:rPr>
                <w:rFonts w:ascii="Times New Roman" w:hAnsi="Times New Roman"/>
                <w:sz w:val="20"/>
              </w:rPr>
            </w:pPr>
            <w:r>
              <w:rPr>
                <w:rFonts w:ascii="Times New Roman" w:hAnsi="Times New Roman"/>
                <w:sz w:val="20"/>
              </w:rPr>
              <w:t xml:space="preserve">Will Connelly </w:t>
            </w:r>
            <w:proofErr w:type="gramStart"/>
            <w:r>
              <w:rPr>
                <w:rFonts w:ascii="Times New Roman" w:hAnsi="Times New Roman"/>
                <w:sz w:val="20"/>
              </w:rPr>
              <w:t>provided</w:t>
            </w:r>
            <w:proofErr w:type="gramEnd"/>
            <w:r>
              <w:rPr>
                <w:rFonts w:ascii="Times New Roman" w:hAnsi="Times New Roman"/>
                <w:sz w:val="20"/>
              </w:rPr>
              <w:t xml:space="preserve"> an update to the Focus Strategies report’s final report. Their recommendations for a “Housing Crisis Resolution System” (HCRS) include major changes to current governance structure. In an effort to facilitate future discussions, Will provided (3) briefs released by Focus Strategies that outline key points in building an effective HCRS. </w:t>
            </w:r>
            <w:r w:rsidR="000568D2" w:rsidRPr="000568D2">
              <w:rPr>
                <w:rFonts w:ascii="Times New Roman" w:hAnsi="Times New Roman"/>
                <w:sz w:val="20"/>
              </w:rPr>
              <w:t xml:space="preserve"> </w:t>
            </w:r>
            <w:r>
              <w:rPr>
                <w:rFonts w:ascii="Times New Roman" w:hAnsi="Times New Roman"/>
                <w:sz w:val="20"/>
              </w:rPr>
              <w:t xml:space="preserve">Members present read aloud pieces of the brief. </w:t>
            </w:r>
          </w:p>
          <w:p w:rsidR="00DE31DF" w:rsidRDefault="00DE31DF" w:rsidP="000568D2">
            <w:pPr>
              <w:rPr>
                <w:rFonts w:ascii="Times New Roman" w:hAnsi="Times New Roman"/>
                <w:sz w:val="20"/>
              </w:rPr>
            </w:pPr>
          </w:p>
          <w:p w:rsidR="00DE31DF" w:rsidRDefault="00DE31DF" w:rsidP="000568D2">
            <w:pPr>
              <w:rPr>
                <w:rFonts w:ascii="Times New Roman" w:hAnsi="Times New Roman"/>
                <w:sz w:val="20"/>
              </w:rPr>
            </w:pPr>
            <w:r>
              <w:rPr>
                <w:rFonts w:ascii="Times New Roman" w:hAnsi="Times New Roman"/>
                <w:sz w:val="20"/>
              </w:rPr>
              <w:t xml:space="preserve">Some questions were asked by RITI, YWCA and WHM. One question centered around how to help agencies focus on their services and it’s collaboration within the larger system. One question asked about using additional data for further analysis-i.e. “Systems Level Performance Reporting”. </w:t>
            </w:r>
          </w:p>
          <w:p w:rsidR="00DE31DF" w:rsidRDefault="00DE31DF" w:rsidP="000568D2">
            <w:pPr>
              <w:rPr>
                <w:rFonts w:ascii="Times New Roman" w:hAnsi="Times New Roman"/>
                <w:sz w:val="20"/>
              </w:rPr>
            </w:pPr>
          </w:p>
          <w:p w:rsidR="00DE31DF" w:rsidRPr="000568D2" w:rsidRDefault="00DE31DF" w:rsidP="000568D2">
            <w:pPr>
              <w:rPr>
                <w:rFonts w:ascii="Times New Roman" w:hAnsi="Times New Roman"/>
                <w:sz w:val="20"/>
              </w:rPr>
            </w:pPr>
            <w:r>
              <w:rPr>
                <w:rFonts w:ascii="Times New Roman" w:hAnsi="Times New Roman"/>
                <w:sz w:val="20"/>
              </w:rPr>
              <w:t xml:space="preserve">HEARTH outlines what communities should be looking at in developing such a system including targeting </w:t>
            </w:r>
            <w:r>
              <w:rPr>
                <w:rFonts w:ascii="Times New Roman" w:hAnsi="Times New Roman"/>
                <w:sz w:val="20"/>
              </w:rPr>
              <w:lastRenderedPageBreak/>
              <w:t>services, more vouchers and building or finding available housing. The system would move towards policy and commu</w:t>
            </w:r>
            <w:bookmarkStart w:id="7" w:name="_GoBack"/>
            <w:bookmarkEnd w:id="7"/>
            <w:r>
              <w:rPr>
                <w:rFonts w:ascii="Times New Roman" w:hAnsi="Times New Roman"/>
                <w:sz w:val="20"/>
              </w:rPr>
              <w:t xml:space="preserve">nity decisions being based on “outcomes”. </w:t>
            </w:r>
          </w:p>
        </w:tc>
      </w:tr>
      <w:tr w:rsidR="000C7E9B" w:rsidRPr="00EC37E9" w:rsidTr="004A0042">
        <w:trPr>
          <w:gridAfter w:val="1"/>
          <w:wAfter w:w="7" w:type="dxa"/>
          <w:trHeight w:hRule="exact" w:val="101"/>
          <w:jc w:val="center"/>
        </w:trPr>
        <w:tc>
          <w:tcPr>
            <w:tcW w:w="11203" w:type="dxa"/>
            <w:gridSpan w:val="7"/>
            <w:tcBorders>
              <w:top w:val="single" w:sz="4" w:space="0" w:color="C0C0C0"/>
            </w:tcBorders>
            <w:shd w:val="clear" w:color="auto" w:fill="auto"/>
            <w:tcMar>
              <w:left w:w="0" w:type="dxa"/>
            </w:tcMar>
            <w:vAlign w:val="center"/>
          </w:tcPr>
          <w:p w:rsidR="000C7E9B" w:rsidRPr="00EC37E9" w:rsidRDefault="000C7E9B" w:rsidP="00456620">
            <w:pPr>
              <w:rPr>
                <w:rFonts w:ascii="Times New Roman" w:hAnsi="Times New Roman"/>
                <w:sz w:val="20"/>
                <w:szCs w:val="20"/>
              </w:rPr>
            </w:pPr>
          </w:p>
        </w:tc>
      </w:tr>
    </w:tbl>
    <w:p w:rsidR="00BF67B5" w:rsidRDefault="00BF67B5" w:rsidP="00BB5323"/>
    <w:tbl>
      <w:tblPr>
        <w:tblW w:w="11210" w:type="dxa"/>
        <w:jc w:val="center"/>
        <w:tblBorders>
          <w:bottom w:val="single" w:sz="12" w:space="0" w:color="999999"/>
        </w:tblBorders>
        <w:tblLayout w:type="fixed"/>
        <w:tblCellMar>
          <w:top w:w="14" w:type="dxa"/>
          <w:left w:w="86" w:type="dxa"/>
          <w:bottom w:w="14" w:type="dxa"/>
          <w:right w:w="86" w:type="dxa"/>
        </w:tblCellMar>
        <w:tblLook w:val="0000" w:firstRow="0" w:lastRow="0" w:firstColumn="0" w:lastColumn="0" w:noHBand="0" w:noVBand="0"/>
      </w:tblPr>
      <w:tblGrid>
        <w:gridCol w:w="1754"/>
        <w:gridCol w:w="1980"/>
        <w:gridCol w:w="3282"/>
        <w:gridCol w:w="4194"/>
      </w:tblGrid>
      <w:tr w:rsidR="000568D2" w:rsidRPr="00EC37E9" w:rsidTr="00D96C9B">
        <w:trPr>
          <w:trHeight w:val="360"/>
          <w:jc w:val="center"/>
        </w:trPr>
        <w:tc>
          <w:tcPr>
            <w:tcW w:w="3734" w:type="dxa"/>
            <w:gridSpan w:val="2"/>
            <w:tcBorders>
              <w:top w:val="nil"/>
            </w:tcBorders>
            <w:shd w:val="clear" w:color="auto" w:fill="auto"/>
            <w:tcMar>
              <w:left w:w="0" w:type="dxa"/>
            </w:tcMar>
            <w:vAlign w:val="center"/>
          </w:tcPr>
          <w:p w:rsidR="000568D2" w:rsidRPr="000568D2" w:rsidRDefault="00DE31DF" w:rsidP="000568D2">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Point-In-Time Count</w:t>
            </w:r>
          </w:p>
        </w:tc>
        <w:tc>
          <w:tcPr>
            <w:tcW w:w="3282" w:type="dxa"/>
            <w:tcBorders>
              <w:top w:val="nil"/>
            </w:tcBorders>
            <w:shd w:val="clear" w:color="auto" w:fill="auto"/>
            <w:tcMar>
              <w:left w:w="0" w:type="dxa"/>
            </w:tcMar>
            <w:vAlign w:val="center"/>
          </w:tcPr>
          <w:p w:rsidR="000568D2" w:rsidRPr="000568D2" w:rsidRDefault="000568D2" w:rsidP="00DF2266">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94" w:type="dxa"/>
            <w:tcBorders>
              <w:top w:val="nil"/>
            </w:tcBorders>
            <w:shd w:val="clear" w:color="auto" w:fill="auto"/>
            <w:tcMar>
              <w:left w:w="0" w:type="dxa"/>
            </w:tcMar>
            <w:vAlign w:val="center"/>
          </w:tcPr>
          <w:p w:rsidR="000568D2" w:rsidRPr="00EC37E9" w:rsidRDefault="00DE31DF" w:rsidP="00DF2266">
            <w:pPr>
              <w:pStyle w:val="Heading5"/>
              <w:rPr>
                <w:rFonts w:ascii="Times New Roman" w:hAnsi="Times New Roman"/>
                <w:sz w:val="18"/>
                <w:szCs w:val="18"/>
              </w:rPr>
            </w:pPr>
            <w:r>
              <w:rPr>
                <w:rFonts w:ascii="Times New Roman" w:hAnsi="Times New Roman"/>
                <w:sz w:val="18"/>
                <w:szCs w:val="18"/>
              </w:rPr>
              <w:t>Mandy Wood</w:t>
            </w:r>
          </w:p>
        </w:tc>
      </w:tr>
      <w:tr w:rsidR="000568D2" w:rsidRPr="000568D2" w:rsidTr="000568D2">
        <w:tblPrEx>
          <w:tblBorders>
            <w:bottom w:val="none" w:sz="0" w:space="0" w:color="auto"/>
          </w:tblBorders>
        </w:tblPrEx>
        <w:trPr>
          <w:trHeight w:val="1009"/>
          <w:jc w:val="center"/>
        </w:trPr>
        <w:tc>
          <w:tcPr>
            <w:tcW w:w="1754"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568D2" w:rsidRPr="000568D2" w:rsidRDefault="000568D2" w:rsidP="00DF2266">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456"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0568D2" w:rsidRPr="000568D2" w:rsidRDefault="00DE31DF" w:rsidP="000568D2">
            <w:pPr>
              <w:rPr>
                <w:rFonts w:ascii="Times New Roman" w:hAnsi="Times New Roman"/>
                <w:sz w:val="20"/>
              </w:rPr>
            </w:pPr>
            <w:r>
              <w:rPr>
                <w:rFonts w:ascii="Times New Roman" w:hAnsi="Times New Roman"/>
                <w:sz w:val="20"/>
              </w:rPr>
              <w:t xml:space="preserve">The 2016 sheltered and unsheltered numbers are in their final stages of approval and will be released as soon as these steps are complete. </w:t>
            </w:r>
            <w:r w:rsidR="000568D2">
              <w:rPr>
                <w:rFonts w:ascii="Times New Roman" w:hAnsi="Times New Roman"/>
                <w:sz w:val="20"/>
              </w:rPr>
              <w:t xml:space="preserve"> </w:t>
            </w:r>
            <w:r w:rsidR="000568D2" w:rsidRPr="000568D2">
              <w:rPr>
                <w:rFonts w:ascii="Times New Roman" w:hAnsi="Times New Roman"/>
                <w:sz w:val="20"/>
              </w:rPr>
              <w:t xml:space="preserve">  </w:t>
            </w:r>
          </w:p>
        </w:tc>
      </w:tr>
      <w:tr w:rsidR="000568D2" w:rsidRPr="00EC37E9" w:rsidTr="00D96C9B">
        <w:trPr>
          <w:trHeight w:val="360"/>
          <w:jc w:val="center"/>
        </w:trPr>
        <w:tc>
          <w:tcPr>
            <w:tcW w:w="3734" w:type="dxa"/>
            <w:gridSpan w:val="2"/>
            <w:tcBorders>
              <w:top w:val="nil"/>
            </w:tcBorders>
            <w:shd w:val="clear" w:color="auto" w:fill="auto"/>
            <w:tcMar>
              <w:left w:w="0" w:type="dxa"/>
            </w:tcMar>
            <w:vAlign w:val="center"/>
          </w:tcPr>
          <w:p w:rsidR="000568D2" w:rsidRPr="000568D2" w:rsidRDefault="00DE31DF" w:rsidP="000568D2">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HMIS</w:t>
            </w:r>
          </w:p>
        </w:tc>
        <w:tc>
          <w:tcPr>
            <w:tcW w:w="3282" w:type="dxa"/>
            <w:tcBorders>
              <w:top w:val="nil"/>
            </w:tcBorders>
            <w:shd w:val="clear" w:color="auto" w:fill="auto"/>
            <w:tcMar>
              <w:left w:w="0" w:type="dxa"/>
            </w:tcMar>
            <w:vAlign w:val="center"/>
          </w:tcPr>
          <w:p w:rsidR="000568D2" w:rsidRPr="000568D2" w:rsidRDefault="000568D2" w:rsidP="00DF2266">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94" w:type="dxa"/>
            <w:tcBorders>
              <w:top w:val="nil"/>
            </w:tcBorders>
            <w:shd w:val="clear" w:color="auto" w:fill="auto"/>
            <w:tcMar>
              <w:left w:w="0" w:type="dxa"/>
            </w:tcMar>
            <w:vAlign w:val="center"/>
          </w:tcPr>
          <w:p w:rsidR="000568D2" w:rsidRPr="00EC37E9" w:rsidRDefault="00DE31DF" w:rsidP="00DF2266">
            <w:pPr>
              <w:pStyle w:val="Heading5"/>
              <w:rPr>
                <w:rFonts w:ascii="Times New Roman" w:hAnsi="Times New Roman"/>
                <w:sz w:val="18"/>
                <w:szCs w:val="18"/>
              </w:rPr>
            </w:pPr>
            <w:r>
              <w:rPr>
                <w:rFonts w:ascii="Times New Roman" w:hAnsi="Times New Roman"/>
                <w:sz w:val="18"/>
                <w:szCs w:val="18"/>
              </w:rPr>
              <w:t>Mandy Wood</w:t>
            </w:r>
          </w:p>
        </w:tc>
      </w:tr>
      <w:tr w:rsidR="000568D2" w:rsidRPr="000568D2" w:rsidTr="000568D2">
        <w:tblPrEx>
          <w:tblBorders>
            <w:bottom w:val="none" w:sz="0" w:space="0" w:color="auto"/>
          </w:tblBorders>
        </w:tblPrEx>
        <w:trPr>
          <w:trHeight w:val="1009"/>
          <w:jc w:val="center"/>
        </w:trPr>
        <w:tc>
          <w:tcPr>
            <w:tcW w:w="1754"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568D2" w:rsidRPr="000568D2" w:rsidRDefault="000568D2" w:rsidP="00DF2266">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456"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0568D2" w:rsidRPr="000568D2" w:rsidRDefault="00DE31DF" w:rsidP="00DF2266">
            <w:pPr>
              <w:rPr>
                <w:rFonts w:ascii="Times New Roman" w:hAnsi="Times New Roman"/>
                <w:sz w:val="20"/>
              </w:rPr>
            </w:pPr>
            <w:r>
              <w:rPr>
                <w:rFonts w:ascii="Times New Roman" w:hAnsi="Times New Roman"/>
                <w:sz w:val="20"/>
              </w:rPr>
              <w:t xml:space="preserve">The data import software has been officially added to the HMIS site. We are still awaiting award announcements from HUD to determine whether the import project will be funded. However, in referring to previous HCRS discussions, this module will allow a higher data coverage of the city to allow for more in-depth analysis. </w:t>
            </w:r>
            <w:r w:rsidR="000568D2">
              <w:rPr>
                <w:rFonts w:ascii="Times New Roman" w:hAnsi="Times New Roman"/>
                <w:sz w:val="20"/>
              </w:rPr>
              <w:t xml:space="preserve">  </w:t>
            </w:r>
            <w:r w:rsidR="000568D2" w:rsidRPr="000568D2">
              <w:rPr>
                <w:rFonts w:ascii="Times New Roman" w:hAnsi="Times New Roman"/>
                <w:sz w:val="20"/>
              </w:rPr>
              <w:t xml:space="preserve">  </w:t>
            </w:r>
          </w:p>
        </w:tc>
      </w:tr>
    </w:tbl>
    <w:p w:rsidR="00BF67B5" w:rsidRDefault="00BF67B5" w:rsidP="00BB5323"/>
    <w:sectPr w:rsidR="00BF67B5" w:rsidSect="007554A1">
      <w:type w:val="continuous"/>
      <w:pgSz w:w="12240" w:h="15840" w:code="1"/>
      <w:pgMar w:top="108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F32"/>
    <w:multiLevelType w:val="hybridMultilevel"/>
    <w:tmpl w:val="ED8C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F10FB"/>
    <w:multiLevelType w:val="multilevel"/>
    <w:tmpl w:val="36E4198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nsid w:val="145C5033"/>
    <w:multiLevelType w:val="hybridMultilevel"/>
    <w:tmpl w:val="71C8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71687"/>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D277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C2107"/>
    <w:multiLevelType w:val="hybridMultilevel"/>
    <w:tmpl w:val="3FA05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546CF"/>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111EA"/>
    <w:multiLevelType w:val="hybridMultilevel"/>
    <w:tmpl w:val="D3A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CF6032C"/>
    <w:multiLevelType w:val="hybridMultilevel"/>
    <w:tmpl w:val="B40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B4399"/>
    <w:multiLevelType w:val="hybridMultilevel"/>
    <w:tmpl w:val="F49E140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9967E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85E2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35CD2"/>
    <w:multiLevelType w:val="hybridMultilevel"/>
    <w:tmpl w:val="FA8A1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903AFC"/>
    <w:multiLevelType w:val="hybridMultilevel"/>
    <w:tmpl w:val="6DFA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5E7EEC"/>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83CA0"/>
    <w:multiLevelType w:val="hybridMultilevel"/>
    <w:tmpl w:val="419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8E6BAB"/>
    <w:multiLevelType w:val="hybridMultilevel"/>
    <w:tmpl w:val="A80C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780707"/>
    <w:multiLevelType w:val="hybridMultilevel"/>
    <w:tmpl w:val="DE82CD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A35F58"/>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0A7361"/>
    <w:multiLevelType w:val="hybridMultilevel"/>
    <w:tmpl w:val="23A2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D32F8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232A35"/>
    <w:multiLevelType w:val="hybridMultilevel"/>
    <w:tmpl w:val="50C05EC8"/>
    <w:lvl w:ilvl="0" w:tplc="D5943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F574D1"/>
    <w:multiLevelType w:val="hybridMultilevel"/>
    <w:tmpl w:val="BC209102"/>
    <w:lvl w:ilvl="0" w:tplc="D2022D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94F59F8"/>
    <w:multiLevelType w:val="hybridMultilevel"/>
    <w:tmpl w:val="D2F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664C0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16"/>
  </w:num>
  <w:num w:numId="5">
    <w:abstractNumId w:val="8"/>
  </w:num>
  <w:num w:numId="6">
    <w:abstractNumId w:val="15"/>
  </w:num>
  <w:num w:numId="7">
    <w:abstractNumId w:val="24"/>
  </w:num>
  <w:num w:numId="8">
    <w:abstractNumId w:val="1"/>
  </w:num>
  <w:num w:numId="9">
    <w:abstractNumId w:val="17"/>
  </w:num>
  <w:num w:numId="10">
    <w:abstractNumId w:val="21"/>
  </w:num>
  <w:num w:numId="11">
    <w:abstractNumId w:val="9"/>
  </w:num>
  <w:num w:numId="12">
    <w:abstractNumId w:val="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14"/>
  </w:num>
  <w:num w:numId="17">
    <w:abstractNumId w:val="13"/>
  </w:num>
  <w:num w:numId="18">
    <w:abstractNumId w:val="0"/>
  </w:num>
  <w:num w:numId="19">
    <w:abstractNumId w:val="19"/>
  </w:num>
  <w:num w:numId="20">
    <w:abstractNumId w:val="2"/>
  </w:num>
  <w:num w:numId="21">
    <w:abstractNumId w:val="3"/>
  </w:num>
  <w:num w:numId="22">
    <w:abstractNumId w:val="20"/>
  </w:num>
  <w:num w:numId="23">
    <w:abstractNumId w:val="6"/>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18"/>
    <w:rsid w:val="000145A5"/>
    <w:rsid w:val="00024B3B"/>
    <w:rsid w:val="00042A9A"/>
    <w:rsid w:val="00043514"/>
    <w:rsid w:val="000568D2"/>
    <w:rsid w:val="000700B9"/>
    <w:rsid w:val="000C7E9B"/>
    <w:rsid w:val="0012109E"/>
    <w:rsid w:val="001538F0"/>
    <w:rsid w:val="001A00DF"/>
    <w:rsid w:val="001A22E3"/>
    <w:rsid w:val="001B37FC"/>
    <w:rsid w:val="001B3C45"/>
    <w:rsid w:val="001B5C6D"/>
    <w:rsid w:val="001F44B9"/>
    <w:rsid w:val="00202483"/>
    <w:rsid w:val="002138F0"/>
    <w:rsid w:val="00214215"/>
    <w:rsid w:val="002378C1"/>
    <w:rsid w:val="00252657"/>
    <w:rsid w:val="002A58E5"/>
    <w:rsid w:val="002C564A"/>
    <w:rsid w:val="002C5E97"/>
    <w:rsid w:val="002D577A"/>
    <w:rsid w:val="003421F9"/>
    <w:rsid w:val="00357C71"/>
    <w:rsid w:val="00373815"/>
    <w:rsid w:val="00385CFB"/>
    <w:rsid w:val="00393588"/>
    <w:rsid w:val="003A7BE5"/>
    <w:rsid w:val="003E3F91"/>
    <w:rsid w:val="00417272"/>
    <w:rsid w:val="00435D74"/>
    <w:rsid w:val="00456620"/>
    <w:rsid w:val="00495E0E"/>
    <w:rsid w:val="004A0042"/>
    <w:rsid w:val="005052C5"/>
    <w:rsid w:val="00531002"/>
    <w:rsid w:val="0055664D"/>
    <w:rsid w:val="00556A12"/>
    <w:rsid w:val="00575D67"/>
    <w:rsid w:val="00583181"/>
    <w:rsid w:val="005840FB"/>
    <w:rsid w:val="005B303B"/>
    <w:rsid w:val="005D14CF"/>
    <w:rsid w:val="005F7853"/>
    <w:rsid w:val="00606DE2"/>
    <w:rsid w:val="0065731E"/>
    <w:rsid w:val="00685A6F"/>
    <w:rsid w:val="00692553"/>
    <w:rsid w:val="006B3180"/>
    <w:rsid w:val="006E696C"/>
    <w:rsid w:val="00717B4B"/>
    <w:rsid w:val="00736E18"/>
    <w:rsid w:val="007554A1"/>
    <w:rsid w:val="00770840"/>
    <w:rsid w:val="0078071A"/>
    <w:rsid w:val="00787515"/>
    <w:rsid w:val="0079305B"/>
    <w:rsid w:val="007C174F"/>
    <w:rsid w:val="007F15DA"/>
    <w:rsid w:val="007F5D94"/>
    <w:rsid w:val="008253C4"/>
    <w:rsid w:val="00830AC9"/>
    <w:rsid w:val="0085168B"/>
    <w:rsid w:val="00851ADC"/>
    <w:rsid w:val="008B4FB1"/>
    <w:rsid w:val="008C5617"/>
    <w:rsid w:val="008F49C0"/>
    <w:rsid w:val="008F6A70"/>
    <w:rsid w:val="00903A06"/>
    <w:rsid w:val="00913316"/>
    <w:rsid w:val="009271A9"/>
    <w:rsid w:val="00987202"/>
    <w:rsid w:val="009C22CD"/>
    <w:rsid w:val="00A03C68"/>
    <w:rsid w:val="00A11947"/>
    <w:rsid w:val="00A52057"/>
    <w:rsid w:val="00A92599"/>
    <w:rsid w:val="00A94530"/>
    <w:rsid w:val="00A979FE"/>
    <w:rsid w:val="00AE3851"/>
    <w:rsid w:val="00AF3867"/>
    <w:rsid w:val="00AF3E30"/>
    <w:rsid w:val="00B028ED"/>
    <w:rsid w:val="00B52DEE"/>
    <w:rsid w:val="00B84015"/>
    <w:rsid w:val="00B86EE6"/>
    <w:rsid w:val="00BB5323"/>
    <w:rsid w:val="00BC0AC4"/>
    <w:rsid w:val="00BD0E3B"/>
    <w:rsid w:val="00BF67B5"/>
    <w:rsid w:val="00C166AB"/>
    <w:rsid w:val="00C247DF"/>
    <w:rsid w:val="00C4165B"/>
    <w:rsid w:val="00C65D64"/>
    <w:rsid w:val="00C74EF8"/>
    <w:rsid w:val="00CB3760"/>
    <w:rsid w:val="00CD7282"/>
    <w:rsid w:val="00CE6342"/>
    <w:rsid w:val="00D124B6"/>
    <w:rsid w:val="00D33A40"/>
    <w:rsid w:val="00D33FFC"/>
    <w:rsid w:val="00D34B37"/>
    <w:rsid w:val="00D567AB"/>
    <w:rsid w:val="00D621F4"/>
    <w:rsid w:val="00D96C9B"/>
    <w:rsid w:val="00DE31DF"/>
    <w:rsid w:val="00DF7B84"/>
    <w:rsid w:val="00E43BAB"/>
    <w:rsid w:val="00E4591C"/>
    <w:rsid w:val="00E46498"/>
    <w:rsid w:val="00E60E43"/>
    <w:rsid w:val="00E71616"/>
    <w:rsid w:val="00E71DBA"/>
    <w:rsid w:val="00E96FC8"/>
    <w:rsid w:val="00EA2581"/>
    <w:rsid w:val="00EA2996"/>
    <w:rsid w:val="00EC37E9"/>
    <w:rsid w:val="00EE1DAB"/>
    <w:rsid w:val="00EF42E9"/>
    <w:rsid w:val="00F05B76"/>
    <w:rsid w:val="00F343FB"/>
    <w:rsid w:val="00F363F6"/>
    <w:rsid w:val="00F5674F"/>
    <w:rsid w:val="00FF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4425">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528447641">
      <w:bodyDiv w:val="1"/>
      <w:marLeft w:val="0"/>
      <w:marRight w:val="0"/>
      <w:marTop w:val="0"/>
      <w:marBottom w:val="0"/>
      <w:divBdr>
        <w:top w:val="none" w:sz="0" w:space="0" w:color="auto"/>
        <w:left w:val="none" w:sz="0" w:space="0" w:color="auto"/>
        <w:bottom w:val="none" w:sz="0" w:space="0" w:color="auto"/>
        <w:right w:val="none" w:sz="0" w:space="0" w:color="auto"/>
      </w:divBdr>
    </w:div>
    <w:div w:id="189308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egina.surb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Template>
  <TotalTime>0</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Surber</dc:creator>
  <cp:lastModifiedBy>Amanda Wood</cp:lastModifiedBy>
  <cp:revision>2</cp:revision>
  <cp:lastPrinted>2015-08-17T16:49:00Z</cp:lastPrinted>
  <dcterms:created xsi:type="dcterms:W3CDTF">2016-03-11T18:38:00Z</dcterms:created>
  <dcterms:modified xsi:type="dcterms:W3CDTF">2016-03-11T18:38:00Z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