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40"/>
        <w:gridCol w:w="94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A94530" w:rsidP="00ED75C4">
            <w:pPr>
              <w:pStyle w:val="Heading1"/>
              <w:rPr>
                <w:rFonts w:ascii="Times New Roman" w:hAnsi="Times New Roman"/>
                <w:sz w:val="36"/>
              </w:rPr>
            </w:pPr>
            <w:r w:rsidRPr="00F343FB">
              <w:rPr>
                <w:rFonts w:ascii="Times New Roman" w:hAnsi="Times New Roman"/>
                <w:sz w:val="36"/>
              </w:rPr>
              <w:t xml:space="preserve">  </w:t>
            </w:r>
            <w:r w:rsidR="001B37FC" w:rsidRPr="00F343FB">
              <w:rPr>
                <w:rFonts w:ascii="Times New Roman" w:hAnsi="Times New Roman"/>
                <w:sz w:val="36"/>
              </w:rPr>
              <w:t>Gaps Governance Committee</w:t>
            </w:r>
            <w:r w:rsidR="00556A12" w:rsidRPr="00F343FB">
              <w:rPr>
                <w:rFonts w:ascii="Times New Roman" w:hAnsi="Times New Roman"/>
                <w:sz w:val="36"/>
              </w:rPr>
              <w:t xml:space="preserve"> Meeting</w:t>
            </w:r>
            <w:r w:rsidR="000C7E9B" w:rsidRPr="00F343FB">
              <w:rPr>
                <w:rFonts w:ascii="Times New Roman" w:hAnsi="Times New Roman"/>
                <w:sz w:val="36"/>
              </w:rPr>
              <w:t xml:space="preserve"> (</w:t>
            </w:r>
            <w:r w:rsidR="00ED75C4">
              <w:rPr>
                <w:rFonts w:ascii="Times New Roman" w:hAnsi="Times New Roman"/>
                <w:i/>
                <w:sz w:val="36"/>
              </w:rPr>
              <w:t>June</w:t>
            </w:r>
            <w:r w:rsidR="001905A2">
              <w:rPr>
                <w:rFonts w:ascii="Times New Roman" w:hAnsi="Times New Roman"/>
                <w:i/>
                <w:sz w:val="36"/>
              </w:rPr>
              <w:t xml:space="preserve"> </w:t>
            </w:r>
            <w:r w:rsidR="00B86EE6">
              <w:rPr>
                <w:rFonts w:ascii="Times New Roman" w:hAnsi="Times New Roman"/>
                <w:i/>
                <w:sz w:val="36"/>
              </w:rPr>
              <w:t>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1905A2">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3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0954CC">
              <w:rPr>
                <w:rFonts w:ascii="Times New Roman" w:hAnsi="Times New Roman"/>
              </w:rPr>
              <w:t>June 14</w:t>
            </w:r>
            <w:r w:rsidR="000954CC" w:rsidRPr="000954CC">
              <w:rPr>
                <w:rFonts w:ascii="Times New Roman" w:hAnsi="Times New Roman"/>
                <w:vertAlign w:val="superscript"/>
              </w:rPr>
              <w:t>th</w:t>
            </w:r>
            <w:r w:rsidR="000954CC">
              <w:rPr>
                <w:rFonts w:ascii="Times New Roman" w:hAnsi="Times New Roman"/>
              </w:rPr>
              <w:t>,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8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ED75C4">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w:t>
            </w:r>
            <w:r w:rsidR="00ED75C4">
              <w:rPr>
                <w:rFonts w:ascii="Times New Roman" w:hAnsi="Times New Roman"/>
              </w:rPr>
              <w:t>MDHA Board room</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1905A2" w:rsidP="00DD11FA">
            <w:pPr>
              <w:rPr>
                <w:rFonts w:ascii="Times New Roman" w:hAnsi="Times New Roman"/>
                <w:sz w:val="20"/>
                <w:szCs w:val="20"/>
              </w:rPr>
            </w:pPr>
            <w:r>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ED75C4" w:rsidP="006C3085">
            <w:pPr>
              <w:spacing w:line="276" w:lineRule="auto"/>
              <w:rPr>
                <w:rFonts w:ascii="Times New Roman" w:hAnsi="Times New Roman"/>
                <w:sz w:val="20"/>
                <w:szCs w:val="20"/>
              </w:rPr>
            </w:pPr>
            <w:r>
              <w:rPr>
                <w:rFonts w:ascii="Times New Roman" w:hAnsi="Times New Roman"/>
                <w:sz w:val="20"/>
                <w:szCs w:val="20"/>
              </w:rPr>
              <w:t>Erik Cole, Suzie Tolmie, Trish Davis, Daryl Murray, Beth Shinn, Will Connelly, Mandy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ED75C4"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Rachel Hester</w:t>
            </w:r>
            <w:r w:rsidR="000954CC">
              <w:rPr>
                <w:rFonts w:ascii="Times New Roman" w:eastAsiaTheme="minorHAnsi" w:hAnsi="Times New Roman"/>
                <w:spacing w:val="0"/>
                <w:sz w:val="20"/>
                <w:szCs w:val="20"/>
              </w:rPr>
              <w:t>, Clarkton Harrison</w:t>
            </w:r>
            <w:bookmarkStart w:id="0" w:name="_GoBack"/>
            <w:bookmarkEnd w:id="0"/>
          </w:p>
        </w:tc>
      </w:tr>
      <w:tr w:rsidR="00ED75C4"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ED75C4" w:rsidRPr="00EC37E9" w:rsidRDefault="00ED75C4" w:rsidP="005052C5">
            <w:pPr>
              <w:pStyle w:val="AllCapsHeading"/>
              <w:rPr>
                <w:rFonts w:ascii="Times New Roman" w:hAnsi="Times New Roman"/>
              </w:rPr>
            </w:pPr>
            <w:r>
              <w:rPr>
                <w:rFonts w:ascii="Times New Roman" w:hAnsi="Times New Roman"/>
              </w:rPr>
              <w:t>Interested parties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ED75C4" w:rsidRDefault="00ED75C4"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Angela Hubbard, Treva Gilligan, Conor O’Neil, Steve Reiter</w:t>
            </w: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D75C4" w:rsidRDefault="000C7E9B" w:rsidP="005052C5">
            <w:pPr>
              <w:pStyle w:val="Heading2"/>
              <w:rPr>
                <w:rFonts w:ascii="Times New Roman" w:hAnsi="Times New Roman"/>
                <w:b/>
                <w:u w:val="single"/>
              </w:rPr>
            </w:pPr>
            <w:bookmarkStart w:id="1" w:name="MinuteTopic"/>
            <w:bookmarkEnd w:id="1"/>
            <w:r w:rsidRPr="00ED75C4">
              <w:rPr>
                <w:rFonts w:ascii="Times New Roman" w:hAnsi="Times New Roman"/>
                <w:b/>
                <w:u w:val="single"/>
              </w:rPr>
              <w:t>Agenda topics</w:t>
            </w:r>
            <w:r w:rsidR="00417EA2" w:rsidRPr="00ED75C4">
              <w:rPr>
                <w:rFonts w:ascii="Times New Roman" w:hAnsi="Times New Roman"/>
                <w:b/>
                <w:u w:val="single"/>
              </w:rPr>
              <w:t xml:space="preserve"> </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ED75C4" w:rsidP="005840FB">
            <w:pPr>
              <w:pStyle w:val="Heading4"/>
              <w:framePr w:hSpace="0" w:wrap="auto" w:vAnchor="margin" w:hAnchor="text" w:xAlign="left" w:yAlign="inline"/>
              <w:numPr>
                <w:ilvl w:val="0"/>
                <w:numId w:val="1"/>
              </w:numPr>
              <w:suppressOverlap w:val="0"/>
              <w:rPr>
                <w:rFonts w:ascii="Times New Roman" w:hAnsi="Times New Roman"/>
              </w:rPr>
            </w:pPr>
            <w:bookmarkStart w:id="2" w:name="MinuteItems"/>
            <w:bookmarkStart w:id="3" w:name="MinuteTopicSection"/>
            <w:bookmarkEnd w:id="2"/>
            <w:r>
              <w:rPr>
                <w:rFonts w:ascii="Times New Roman" w:hAnsi="Times New Roman"/>
                <w:sz w:val="18"/>
              </w:rPr>
              <w:t xml:space="preserve">april </w:t>
            </w:r>
            <w:r w:rsidR="009D0B0D" w:rsidRPr="008B5FCE">
              <w:rPr>
                <w:rFonts w:ascii="Times New Roman" w:hAnsi="Times New Roman"/>
                <w:sz w:val="18"/>
              </w:rPr>
              <w:t>Minutes Approval</w:t>
            </w:r>
            <w:r w:rsidR="000700B9" w:rsidRPr="008B5FCE">
              <w:rPr>
                <w:rFonts w:ascii="Times New Roman" w:hAnsi="Times New Roman"/>
                <w:sz w:val="18"/>
              </w:rPr>
              <w:t xml:space="preserve"> </w:t>
            </w:r>
          </w:p>
        </w:tc>
        <w:tc>
          <w:tcPr>
            <w:tcW w:w="4314" w:type="dxa"/>
            <w:gridSpan w:val="5"/>
            <w:tcBorders>
              <w:bottom w:val="single" w:sz="12" w:space="0" w:color="999999"/>
            </w:tcBorders>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4" w:name="MinuteDiscussion"/>
            <w:bookmarkEnd w:id="4"/>
            <w:r w:rsidRPr="000568D2">
              <w:rPr>
                <w:rFonts w:ascii="Times New Roman" w:hAnsi="Times New Roman"/>
                <w:color w:val="auto"/>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ED75C4" w:rsidP="00F5674F">
            <w:pPr>
              <w:rPr>
                <w:rFonts w:ascii="Times New Roman" w:hAnsi="Times New Roman"/>
                <w:sz w:val="18"/>
              </w:rPr>
            </w:pPr>
            <w:r>
              <w:rPr>
                <w:rFonts w:ascii="Times New Roman" w:hAnsi="Times New Roman"/>
                <w:sz w:val="18"/>
              </w:rPr>
              <w:t>Approve April recording of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5" w:name="MinuteConclusion"/>
            <w:bookmarkEnd w:id="5"/>
            <w:r w:rsidRPr="000568D2">
              <w:rPr>
                <w:rFonts w:ascii="Times New Roman" w:hAnsi="Times New Roman"/>
                <w:color w:val="auto"/>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ED75C4" w:rsidP="005052C5">
            <w:pPr>
              <w:rPr>
                <w:rFonts w:ascii="Times New Roman" w:hAnsi="Times New Roman"/>
                <w:b/>
                <w:sz w:val="18"/>
              </w:rPr>
            </w:pPr>
            <w:r>
              <w:rPr>
                <w:rFonts w:ascii="Times New Roman" w:hAnsi="Times New Roman"/>
                <w:b/>
                <w:sz w:val="18"/>
              </w:rPr>
              <w:t>Approved once quorum present.</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6" w:name="MinuteActionItems"/>
            <w:bookmarkEnd w:id="3"/>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0568D2" w:rsidRDefault="00ED75C4"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Pr>
                <w:rFonts w:ascii="Times New Roman" w:hAnsi="Times New Roman"/>
                <w:sz w:val="18"/>
              </w:rPr>
              <w:t>Coc Internal monitoring</w:t>
            </w:r>
          </w:p>
        </w:tc>
        <w:tc>
          <w:tcPr>
            <w:tcW w:w="4314" w:type="dxa"/>
            <w:gridSpan w:val="5"/>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ED75C4" w:rsidP="005052C5">
            <w:pPr>
              <w:pStyle w:val="Heading5"/>
              <w:rPr>
                <w:rFonts w:ascii="Times New Roman" w:hAnsi="Times New Roman"/>
                <w:sz w:val="18"/>
                <w:szCs w:val="18"/>
              </w:rPr>
            </w:pPr>
            <w:r>
              <w:rPr>
                <w:rFonts w:ascii="Times New Roman" w:hAnsi="Times New Roman"/>
                <w:sz w:val="18"/>
                <w:szCs w:val="18"/>
              </w:rPr>
              <w:t>conor o’neil</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B5FCE" w:rsidRDefault="00ED75C4" w:rsidP="000700B9">
            <w:pPr>
              <w:rPr>
                <w:rFonts w:ascii="Times New Roman" w:hAnsi="Times New Roman"/>
                <w:sz w:val="20"/>
              </w:rPr>
            </w:pPr>
            <w:r w:rsidRPr="00ED75C4">
              <w:rPr>
                <w:rFonts w:ascii="Times New Roman" w:hAnsi="Times New Roman"/>
                <w:color w:val="000000" w:themeColor="text1"/>
                <w:sz w:val="20"/>
              </w:rPr>
              <w:t>Conor O’Neil is MDHA’s Compliance Monitor and conduced an internal review of the CoC Governance and it’s regulations, as well as the HMIS administration and it’s regulations</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954CC" w:rsidP="005052C5">
            <w:pPr>
              <w:pStyle w:val="AllCapsHeading"/>
              <w:rPr>
                <w:rFonts w:ascii="Times New Roman" w:hAnsi="Times New Roman"/>
                <w:color w:val="auto"/>
                <w:sz w:val="18"/>
                <w:szCs w:val="18"/>
              </w:rPr>
            </w:pPr>
            <w:r>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0568D2" w:rsidRPr="00ED75C4" w:rsidRDefault="00ED75C4" w:rsidP="00ED75C4">
            <w:pPr>
              <w:rPr>
                <w:rFonts w:ascii="Times New Roman" w:hAnsi="Times New Roman"/>
                <w:sz w:val="20"/>
              </w:rPr>
            </w:pPr>
            <w:r w:rsidRPr="00ED75C4">
              <w:rPr>
                <w:rFonts w:ascii="Times New Roman" w:hAnsi="Times New Roman"/>
                <w:sz w:val="20"/>
              </w:rPr>
              <w:t xml:space="preserve">Community Development Director of MDHA, Angela Hubbard, asked Conor O’Neil to do a thorough review of our current processes and </w:t>
            </w:r>
            <w:proofErr w:type="gramStart"/>
            <w:r w:rsidRPr="00ED75C4">
              <w:rPr>
                <w:rFonts w:ascii="Times New Roman" w:hAnsi="Times New Roman"/>
                <w:sz w:val="20"/>
              </w:rPr>
              <w:t>records regarding the administrative duties as MDHA is</w:t>
            </w:r>
            <w:proofErr w:type="gramEnd"/>
            <w:r w:rsidRPr="00ED75C4">
              <w:rPr>
                <w:rFonts w:ascii="Times New Roman" w:hAnsi="Times New Roman"/>
                <w:sz w:val="20"/>
              </w:rPr>
              <w:t xml:space="preserve"> the CoC and HMIS lead for the Nashville, Davidson County, TN HUD Continuum of Care. A final report was produced and provided to both the CoC Governance board members as well as the CoC General Membership during the June 2016 meetings. The report and its findings are attached. </w:t>
            </w:r>
          </w:p>
          <w:p w:rsidR="000C7E9B" w:rsidRPr="000568D2"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ED75C4"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TN504 HUD Technical Assistance</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ED75C4" w:rsidP="00495E0E">
            <w:pPr>
              <w:pStyle w:val="Heading5"/>
              <w:rPr>
                <w:rFonts w:ascii="Times New Roman" w:hAnsi="Times New Roman"/>
                <w:sz w:val="18"/>
                <w:szCs w:val="18"/>
              </w:rPr>
            </w:pPr>
            <w:r>
              <w:rPr>
                <w:rFonts w:ascii="Times New Roman" w:hAnsi="Times New Roman"/>
                <w:sz w:val="18"/>
                <w:szCs w:val="18"/>
              </w:rPr>
              <w:t>Suzie Tolmie &amp; Mandy Wood</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5D14CF" w:rsidRPr="000568D2" w:rsidRDefault="00ED75C4" w:rsidP="000568D2">
            <w:pPr>
              <w:rPr>
                <w:rFonts w:ascii="Times New Roman" w:hAnsi="Times New Roman"/>
                <w:sz w:val="20"/>
              </w:rPr>
            </w:pPr>
            <w:r>
              <w:rPr>
                <w:rFonts w:ascii="Times New Roman" w:hAnsi="Times New Roman"/>
                <w:sz w:val="20"/>
              </w:rPr>
              <w:t xml:space="preserve">Strategic Leadership, Erik Cole (Chair of Governance Committee), Will Connelly (Director of Metropolitan Homelessness Commission) and Angela Hubbard (Director of Community Development, MDHA, CoC/HMIS Lead &amp; CPD Grants Director for TN504) created a questionnaire intended to understand the current effectiveness and potential improvements in the TN504 CoC Structure. The results were provided in raw format to the governance members as well as the CoC Community. These results will be submitted to Mary Wilson, the local Field Office Director and a request for HUD T.A. to be issued to the community’s CoC.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663"/>
        <w:gridCol w:w="2071"/>
        <w:gridCol w:w="3282"/>
        <w:gridCol w:w="4187"/>
        <w:gridCol w:w="7"/>
      </w:tblGrid>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ED75C4" w:rsidP="009D0B0D">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PIT Count 2016</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2"/>
            <w:tcBorders>
              <w:top w:val="nil"/>
            </w:tcBorders>
            <w:shd w:val="clear" w:color="auto" w:fill="auto"/>
            <w:tcMar>
              <w:left w:w="0" w:type="dxa"/>
            </w:tcMar>
            <w:vAlign w:val="center"/>
          </w:tcPr>
          <w:p w:rsidR="000568D2" w:rsidRPr="00EC37E9" w:rsidRDefault="00ED75C4" w:rsidP="00DF2266">
            <w:pPr>
              <w:pStyle w:val="Heading5"/>
              <w:rPr>
                <w:rFonts w:ascii="Times New Roman" w:hAnsi="Times New Roman"/>
                <w:sz w:val="18"/>
                <w:szCs w:val="18"/>
              </w:rPr>
            </w:pPr>
            <w:r>
              <w:rPr>
                <w:rFonts w:ascii="Times New Roman" w:hAnsi="Times New Roman"/>
                <w:sz w:val="18"/>
                <w:szCs w:val="18"/>
              </w:rPr>
              <w:t>Suzie Tolmie &amp; Mandy Wood</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ED75C4" w:rsidP="000568D2">
            <w:pPr>
              <w:rPr>
                <w:rFonts w:ascii="Times New Roman" w:hAnsi="Times New Roman"/>
                <w:sz w:val="20"/>
              </w:rPr>
            </w:pPr>
            <w:r>
              <w:rPr>
                <w:rFonts w:ascii="Times New Roman" w:hAnsi="Times New Roman"/>
                <w:sz w:val="20"/>
              </w:rPr>
              <w:t xml:space="preserve">The results were officially released and summaries provided to the community regarding the annual Point-In-Time Count. Planning for the 2017 Count will begin with Governance appointing a Data Committee to begin analyzing effective methods. </w:t>
            </w:r>
          </w:p>
        </w:tc>
      </w:tr>
      <w:tr w:rsidR="000568D2" w:rsidRPr="00EC37E9" w:rsidTr="00D96C9B">
        <w:trPr>
          <w:trHeight w:val="360"/>
          <w:jc w:val="center"/>
        </w:trPr>
        <w:tc>
          <w:tcPr>
            <w:tcW w:w="3734" w:type="dxa"/>
            <w:gridSpan w:val="2"/>
            <w:tcBorders>
              <w:top w:val="nil"/>
            </w:tcBorders>
            <w:shd w:val="clear" w:color="auto" w:fill="auto"/>
            <w:tcMar>
              <w:left w:w="0" w:type="dxa"/>
            </w:tcMar>
            <w:vAlign w:val="center"/>
          </w:tcPr>
          <w:p w:rsidR="000568D2" w:rsidRPr="000568D2" w:rsidRDefault="00ED75C4" w:rsidP="000568D2">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hud 2015 competition debriefing</w:t>
            </w:r>
          </w:p>
        </w:tc>
        <w:tc>
          <w:tcPr>
            <w:tcW w:w="3282" w:type="dxa"/>
            <w:tcBorders>
              <w:top w:val="nil"/>
            </w:tcBorders>
            <w:shd w:val="clear" w:color="auto" w:fill="auto"/>
            <w:tcMar>
              <w:left w:w="0" w:type="dxa"/>
            </w:tcMar>
            <w:vAlign w:val="center"/>
          </w:tcPr>
          <w:p w:rsidR="000568D2" w:rsidRPr="000568D2" w:rsidRDefault="000568D2"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94" w:type="dxa"/>
            <w:gridSpan w:val="2"/>
            <w:tcBorders>
              <w:top w:val="nil"/>
            </w:tcBorders>
            <w:shd w:val="clear" w:color="auto" w:fill="auto"/>
            <w:tcMar>
              <w:left w:w="0" w:type="dxa"/>
            </w:tcMar>
            <w:vAlign w:val="center"/>
          </w:tcPr>
          <w:p w:rsidR="000568D2" w:rsidRPr="00EC37E9" w:rsidRDefault="00ED75C4" w:rsidP="00DF2266">
            <w:pPr>
              <w:pStyle w:val="Heading5"/>
              <w:rPr>
                <w:rFonts w:ascii="Times New Roman" w:hAnsi="Times New Roman"/>
                <w:sz w:val="18"/>
                <w:szCs w:val="18"/>
              </w:rPr>
            </w:pPr>
            <w:r>
              <w:rPr>
                <w:rFonts w:ascii="Times New Roman" w:hAnsi="Times New Roman"/>
                <w:sz w:val="18"/>
                <w:szCs w:val="18"/>
              </w:rPr>
              <w:t>Suzie Tolmie</w:t>
            </w:r>
          </w:p>
        </w:tc>
      </w:tr>
      <w:tr w:rsidR="000568D2" w:rsidRPr="000568D2" w:rsidTr="00A61CEE">
        <w:tblPrEx>
          <w:tblBorders>
            <w:bottom w:val="none" w:sz="0" w:space="0" w:color="auto"/>
          </w:tblBorders>
        </w:tblPrEx>
        <w:trPr>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0568D2" w:rsidRDefault="000568D2"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7"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0568D2" w:rsidRDefault="000954CC" w:rsidP="00DF2266">
            <w:pPr>
              <w:rPr>
                <w:rFonts w:ascii="Times New Roman" w:hAnsi="Times New Roman"/>
                <w:sz w:val="20"/>
              </w:rPr>
            </w:pPr>
            <w:r>
              <w:rPr>
                <w:rFonts w:ascii="Times New Roman" w:hAnsi="Times New Roman"/>
                <w:sz w:val="20"/>
              </w:rPr>
              <w:t xml:space="preserve">Suzie Tolmie provided an overview of Nashville, Davidson, </w:t>
            </w:r>
            <w:proofErr w:type="gramStart"/>
            <w:r>
              <w:rPr>
                <w:rFonts w:ascii="Times New Roman" w:hAnsi="Times New Roman"/>
                <w:sz w:val="20"/>
              </w:rPr>
              <w:t>County’s</w:t>
            </w:r>
            <w:proofErr w:type="gramEnd"/>
            <w:r>
              <w:rPr>
                <w:rFonts w:ascii="Times New Roman" w:hAnsi="Times New Roman"/>
                <w:sz w:val="20"/>
              </w:rPr>
              <w:t xml:space="preserve"> Score in the FY2015 Competition. The continuum placed under the median average and lost an approximate $500,000.00 in CoC funding to local agencies. In addition, two new projects (HMIS Integration &amp; PSH Bonus by MHC</w:t>
            </w:r>
            <w:proofErr w:type="gramStart"/>
            <w:r>
              <w:rPr>
                <w:rFonts w:ascii="Times New Roman" w:hAnsi="Times New Roman"/>
                <w:sz w:val="20"/>
              </w:rPr>
              <w:t>)  were</w:t>
            </w:r>
            <w:proofErr w:type="gramEnd"/>
            <w:r>
              <w:rPr>
                <w:rFonts w:ascii="Times New Roman" w:hAnsi="Times New Roman"/>
                <w:sz w:val="20"/>
              </w:rPr>
              <w:t xml:space="preserve"> not awarded. </w:t>
            </w:r>
            <w:r w:rsidR="009D0B0D">
              <w:rPr>
                <w:rFonts w:ascii="Times New Roman" w:hAnsi="Times New Roman"/>
                <w:sz w:val="20"/>
              </w:rPr>
              <w:t xml:space="preserve"> </w:t>
            </w:r>
          </w:p>
        </w:tc>
      </w:tr>
      <w:tr w:rsidR="00D96C9B" w:rsidRPr="00EC37E9" w:rsidTr="00D96C9B">
        <w:trPr>
          <w:gridAfter w:val="1"/>
          <w:wAfter w:w="7" w:type="dxa"/>
          <w:trHeight w:val="360"/>
          <w:jc w:val="center"/>
        </w:trPr>
        <w:tc>
          <w:tcPr>
            <w:tcW w:w="3734" w:type="dxa"/>
            <w:gridSpan w:val="2"/>
            <w:tcBorders>
              <w:top w:val="nil"/>
            </w:tcBorders>
            <w:shd w:val="clear" w:color="auto" w:fill="auto"/>
            <w:tcMar>
              <w:left w:w="0" w:type="dxa"/>
            </w:tcMar>
            <w:vAlign w:val="center"/>
          </w:tcPr>
          <w:p w:rsidR="00D96C9B" w:rsidRPr="000568D2" w:rsidRDefault="000954CC" w:rsidP="00D96C9B">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lastRenderedPageBreak/>
              <w:t>PEC for FY2016</w:t>
            </w:r>
          </w:p>
        </w:tc>
        <w:tc>
          <w:tcPr>
            <w:tcW w:w="3282" w:type="dxa"/>
            <w:tcBorders>
              <w:top w:val="nil"/>
            </w:tcBorders>
            <w:shd w:val="clear" w:color="auto" w:fill="auto"/>
            <w:tcMar>
              <w:left w:w="0" w:type="dxa"/>
            </w:tcMar>
            <w:vAlign w:val="center"/>
          </w:tcPr>
          <w:p w:rsidR="00D96C9B" w:rsidRPr="000568D2" w:rsidRDefault="00D96C9B" w:rsidP="00DF2266">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7" w:type="dxa"/>
            <w:tcBorders>
              <w:top w:val="nil"/>
            </w:tcBorders>
            <w:shd w:val="clear" w:color="auto" w:fill="auto"/>
            <w:tcMar>
              <w:left w:w="0" w:type="dxa"/>
            </w:tcMar>
            <w:vAlign w:val="center"/>
          </w:tcPr>
          <w:p w:rsidR="00D96C9B" w:rsidRPr="00EC37E9" w:rsidRDefault="000954CC" w:rsidP="00DF2266">
            <w:pPr>
              <w:pStyle w:val="Heading5"/>
              <w:rPr>
                <w:rFonts w:ascii="Times New Roman" w:hAnsi="Times New Roman"/>
                <w:sz w:val="18"/>
                <w:szCs w:val="18"/>
              </w:rPr>
            </w:pPr>
            <w:r>
              <w:rPr>
                <w:rFonts w:ascii="Times New Roman" w:hAnsi="Times New Roman"/>
                <w:sz w:val="18"/>
                <w:szCs w:val="18"/>
              </w:rPr>
              <w:t>Suzie Tolmie</w:t>
            </w:r>
          </w:p>
        </w:tc>
      </w:tr>
      <w:tr w:rsidR="00D96C9B" w:rsidRPr="000568D2" w:rsidTr="00A61CEE">
        <w:tblPrEx>
          <w:tblBorders>
            <w:bottom w:val="none" w:sz="0" w:space="0" w:color="auto"/>
          </w:tblBorders>
        </w:tblPrEx>
        <w:trPr>
          <w:gridAfter w:val="1"/>
          <w:wAfter w:w="7" w:type="dxa"/>
          <w:trHeight w:val="1009"/>
          <w:jc w:val="center"/>
        </w:trPr>
        <w:tc>
          <w:tcPr>
            <w:tcW w:w="16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96C9B" w:rsidRPr="000568D2" w:rsidRDefault="00D96C9B" w:rsidP="00DF2266">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540"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D96C9B" w:rsidRPr="000568D2" w:rsidRDefault="000954CC" w:rsidP="00DF2266">
            <w:pPr>
              <w:rPr>
                <w:rFonts w:ascii="Times New Roman" w:hAnsi="Times New Roman"/>
                <w:sz w:val="20"/>
              </w:rPr>
            </w:pPr>
            <w:r>
              <w:rPr>
                <w:rFonts w:ascii="Times New Roman" w:hAnsi="Times New Roman"/>
                <w:sz w:val="20"/>
              </w:rPr>
              <w:t xml:space="preserve">The Performance Evaluation Committee (PEC) has (3) vacancies. The chair approved a call from the community for nominations to be considered for appointment. </w:t>
            </w:r>
          </w:p>
        </w:tc>
      </w:tr>
    </w:tbl>
    <w:p w:rsidR="00BF67B5" w:rsidRDefault="00BF67B5" w:rsidP="00BB5323"/>
    <w:p w:rsidR="000954CC" w:rsidRDefault="000954CC" w:rsidP="00BB5323"/>
    <w:p w:rsidR="000954CC" w:rsidRPr="000954CC" w:rsidRDefault="000954CC" w:rsidP="00BB5323">
      <w:pPr>
        <w:rPr>
          <w:rFonts w:ascii="Times New Roman" w:hAnsi="Times New Roman"/>
          <w:sz w:val="24"/>
        </w:rPr>
      </w:pPr>
      <w:r w:rsidRPr="000954CC">
        <w:rPr>
          <w:rFonts w:ascii="Times New Roman" w:hAnsi="Times New Roman"/>
          <w:sz w:val="24"/>
          <w:highlight w:val="yellow"/>
        </w:rPr>
        <w:t>Next Discussions/Meetings:</w:t>
      </w:r>
      <w:r w:rsidRPr="000954CC">
        <w:rPr>
          <w:rFonts w:ascii="Times New Roman" w:hAnsi="Times New Roman"/>
          <w:sz w:val="24"/>
        </w:rPr>
        <w:t xml:space="preserve"> </w:t>
      </w:r>
    </w:p>
    <w:p w:rsidR="000954CC" w:rsidRPr="000954CC" w:rsidRDefault="000954CC" w:rsidP="00BB5323">
      <w:pPr>
        <w:rPr>
          <w:rFonts w:ascii="Times New Roman" w:hAnsi="Times New Roman"/>
          <w:sz w:val="24"/>
        </w:rPr>
      </w:pPr>
    </w:p>
    <w:p w:rsidR="000954CC" w:rsidRPr="000954CC" w:rsidRDefault="000954CC" w:rsidP="000954CC">
      <w:pPr>
        <w:pStyle w:val="ListParagraph"/>
        <w:numPr>
          <w:ilvl w:val="0"/>
          <w:numId w:val="26"/>
        </w:numPr>
        <w:rPr>
          <w:rFonts w:ascii="Times New Roman" w:hAnsi="Times New Roman"/>
          <w:sz w:val="24"/>
        </w:rPr>
      </w:pPr>
      <w:r w:rsidRPr="000954CC">
        <w:rPr>
          <w:rFonts w:ascii="Times New Roman" w:hAnsi="Times New Roman"/>
          <w:sz w:val="24"/>
        </w:rPr>
        <w:t>The Governance Subcommittee-the Governance Charter and By-Laws Committee will be having their next meeting on Friday June 24</w:t>
      </w:r>
      <w:r w:rsidRPr="000954CC">
        <w:rPr>
          <w:rFonts w:ascii="Times New Roman" w:hAnsi="Times New Roman"/>
          <w:sz w:val="24"/>
          <w:vertAlign w:val="superscript"/>
        </w:rPr>
        <w:t>th</w:t>
      </w:r>
      <w:r w:rsidRPr="000954CC">
        <w:rPr>
          <w:rFonts w:ascii="Times New Roman" w:hAnsi="Times New Roman"/>
          <w:sz w:val="24"/>
        </w:rPr>
        <w:t xml:space="preserve"> at 1:00 pm in the MDHA Community Development Board Room. </w:t>
      </w:r>
    </w:p>
    <w:p w:rsidR="000954CC" w:rsidRPr="000954CC" w:rsidRDefault="000954CC" w:rsidP="000954CC">
      <w:pPr>
        <w:pStyle w:val="ListParagraph"/>
        <w:numPr>
          <w:ilvl w:val="1"/>
          <w:numId w:val="26"/>
        </w:numPr>
        <w:rPr>
          <w:rFonts w:ascii="Times New Roman" w:hAnsi="Times New Roman"/>
          <w:sz w:val="24"/>
        </w:rPr>
      </w:pPr>
      <w:r w:rsidRPr="000954CC">
        <w:rPr>
          <w:rFonts w:ascii="Times New Roman" w:hAnsi="Times New Roman"/>
          <w:sz w:val="24"/>
        </w:rPr>
        <w:t>Members Include: Erik Cole, Will Connelly, Diane Del Chiaro, Kyle Duvall</w:t>
      </w:r>
    </w:p>
    <w:p w:rsidR="000954CC" w:rsidRPr="000954CC" w:rsidRDefault="000954CC" w:rsidP="000954CC">
      <w:pPr>
        <w:pStyle w:val="ListParagraph"/>
        <w:numPr>
          <w:ilvl w:val="2"/>
          <w:numId w:val="26"/>
        </w:numPr>
        <w:rPr>
          <w:rFonts w:ascii="Times New Roman" w:hAnsi="Times New Roman"/>
          <w:sz w:val="24"/>
        </w:rPr>
      </w:pPr>
      <w:r w:rsidRPr="000954CC">
        <w:rPr>
          <w:rFonts w:ascii="Times New Roman" w:hAnsi="Times New Roman"/>
          <w:sz w:val="24"/>
        </w:rPr>
        <w:t xml:space="preserve">Staffed and materials recorded by Suzie Tolmie &amp; Mandy Wood. </w:t>
      </w:r>
    </w:p>
    <w:p w:rsidR="000954CC" w:rsidRDefault="000954CC" w:rsidP="000954CC">
      <w:pPr>
        <w:pStyle w:val="ListParagraph"/>
        <w:numPr>
          <w:ilvl w:val="0"/>
          <w:numId w:val="26"/>
        </w:numPr>
        <w:rPr>
          <w:rFonts w:ascii="Times New Roman" w:hAnsi="Times New Roman"/>
          <w:sz w:val="24"/>
        </w:rPr>
      </w:pPr>
      <w:r w:rsidRPr="000954CC">
        <w:rPr>
          <w:rFonts w:ascii="Times New Roman" w:hAnsi="Times New Roman"/>
          <w:sz w:val="24"/>
        </w:rPr>
        <w:t>CoC Governance Schedule Change: The Governance Committee will begin meeting every month for the time being with the next meeting scheduled for July 12</w:t>
      </w:r>
      <w:r w:rsidRPr="000954CC">
        <w:rPr>
          <w:rFonts w:ascii="Times New Roman" w:hAnsi="Times New Roman"/>
          <w:sz w:val="24"/>
          <w:vertAlign w:val="superscript"/>
        </w:rPr>
        <w:t>th</w:t>
      </w:r>
      <w:r w:rsidRPr="000954CC">
        <w:rPr>
          <w:rFonts w:ascii="Times New Roman" w:hAnsi="Times New Roman"/>
          <w:sz w:val="24"/>
        </w:rPr>
        <w:t xml:space="preserve">. </w:t>
      </w:r>
    </w:p>
    <w:p w:rsidR="000954CC" w:rsidRPr="000954CC" w:rsidRDefault="000954CC" w:rsidP="000954CC">
      <w:pPr>
        <w:pStyle w:val="ListParagraph"/>
        <w:numPr>
          <w:ilvl w:val="0"/>
          <w:numId w:val="26"/>
        </w:numPr>
        <w:rPr>
          <w:rFonts w:ascii="Times New Roman" w:hAnsi="Times New Roman"/>
          <w:sz w:val="24"/>
        </w:rPr>
      </w:pPr>
      <w:r>
        <w:rPr>
          <w:rFonts w:ascii="Times New Roman" w:hAnsi="Times New Roman"/>
          <w:sz w:val="24"/>
        </w:rPr>
        <w:t xml:space="preserve">Data Committee Appointment: One agenda item, the HMIS Policies and Procedures Manual, will be placed on the duties/discussions agenda for the newly appointed Data Committee. </w:t>
      </w:r>
    </w:p>
    <w:sectPr w:rsidR="000954CC" w:rsidRPr="000954CC"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DB8"/>
    <w:multiLevelType w:val="hybridMultilevel"/>
    <w:tmpl w:val="53E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9782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17"/>
  </w:num>
  <w:num w:numId="5">
    <w:abstractNumId w:val="9"/>
  </w:num>
  <w:num w:numId="6">
    <w:abstractNumId w:val="16"/>
  </w:num>
  <w:num w:numId="7">
    <w:abstractNumId w:val="25"/>
  </w:num>
  <w:num w:numId="8">
    <w:abstractNumId w:val="2"/>
  </w:num>
  <w:num w:numId="9">
    <w:abstractNumId w:val="18"/>
  </w:num>
  <w:num w:numId="10">
    <w:abstractNumId w:val="23"/>
  </w:num>
  <w:num w:numId="11">
    <w:abstractNumId w:val="10"/>
  </w:num>
  <w:num w:numId="12">
    <w:abstractNumId w:val="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5"/>
  </w:num>
  <w:num w:numId="17">
    <w:abstractNumId w:val="14"/>
  </w:num>
  <w:num w:numId="18">
    <w:abstractNumId w:val="1"/>
  </w:num>
  <w:num w:numId="19">
    <w:abstractNumId w:val="20"/>
  </w:num>
  <w:num w:numId="20">
    <w:abstractNumId w:val="3"/>
  </w:num>
  <w:num w:numId="21">
    <w:abstractNumId w:val="4"/>
  </w:num>
  <w:num w:numId="22">
    <w:abstractNumId w:val="21"/>
  </w:num>
  <w:num w:numId="23">
    <w:abstractNumId w:val="7"/>
  </w:num>
  <w:num w:numId="24">
    <w:abstractNumId w:val="19"/>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954CC"/>
    <w:rsid w:val="000C7E9B"/>
    <w:rsid w:val="0012109E"/>
    <w:rsid w:val="001538F0"/>
    <w:rsid w:val="001905A2"/>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57C71"/>
    <w:rsid w:val="00373815"/>
    <w:rsid w:val="00385CFB"/>
    <w:rsid w:val="00393588"/>
    <w:rsid w:val="003A7BE5"/>
    <w:rsid w:val="003E3F91"/>
    <w:rsid w:val="00417272"/>
    <w:rsid w:val="00417EA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5376"/>
    <w:rsid w:val="00606DE2"/>
    <w:rsid w:val="00623279"/>
    <w:rsid w:val="0065731E"/>
    <w:rsid w:val="00685A6F"/>
    <w:rsid w:val="00692553"/>
    <w:rsid w:val="006A3D8A"/>
    <w:rsid w:val="006B3180"/>
    <w:rsid w:val="006C3085"/>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B5FCE"/>
    <w:rsid w:val="008C5617"/>
    <w:rsid w:val="008F49C0"/>
    <w:rsid w:val="008F6A70"/>
    <w:rsid w:val="00903A06"/>
    <w:rsid w:val="00913316"/>
    <w:rsid w:val="009271A9"/>
    <w:rsid w:val="00987202"/>
    <w:rsid w:val="009C22CD"/>
    <w:rsid w:val="009D0B0D"/>
    <w:rsid w:val="009E6944"/>
    <w:rsid w:val="00A03C68"/>
    <w:rsid w:val="00A11947"/>
    <w:rsid w:val="00A52057"/>
    <w:rsid w:val="00A61CEE"/>
    <w:rsid w:val="00A92599"/>
    <w:rsid w:val="00A94530"/>
    <w:rsid w:val="00A979FE"/>
    <w:rsid w:val="00AE3851"/>
    <w:rsid w:val="00AF3867"/>
    <w:rsid w:val="00AF3E30"/>
    <w:rsid w:val="00B028ED"/>
    <w:rsid w:val="00B52DEE"/>
    <w:rsid w:val="00B84015"/>
    <w:rsid w:val="00B86EE6"/>
    <w:rsid w:val="00BB5323"/>
    <w:rsid w:val="00BC0AC4"/>
    <w:rsid w:val="00BD0E3B"/>
    <w:rsid w:val="00BF67B5"/>
    <w:rsid w:val="00C166AB"/>
    <w:rsid w:val="00C247DF"/>
    <w:rsid w:val="00C4165B"/>
    <w:rsid w:val="00C65D64"/>
    <w:rsid w:val="00C74EF8"/>
    <w:rsid w:val="00CB3760"/>
    <w:rsid w:val="00CD7282"/>
    <w:rsid w:val="00CE6342"/>
    <w:rsid w:val="00D124B6"/>
    <w:rsid w:val="00D33A40"/>
    <w:rsid w:val="00D33FFC"/>
    <w:rsid w:val="00D34B37"/>
    <w:rsid w:val="00D567AB"/>
    <w:rsid w:val="00D621F4"/>
    <w:rsid w:val="00D96C9B"/>
    <w:rsid w:val="00DD0B0A"/>
    <w:rsid w:val="00DF7B84"/>
    <w:rsid w:val="00E43BAB"/>
    <w:rsid w:val="00E4591C"/>
    <w:rsid w:val="00E46498"/>
    <w:rsid w:val="00E60E43"/>
    <w:rsid w:val="00E71616"/>
    <w:rsid w:val="00E71DBA"/>
    <w:rsid w:val="00E96FC8"/>
    <w:rsid w:val="00EA2581"/>
    <w:rsid w:val="00EA2996"/>
    <w:rsid w:val="00EC37E9"/>
    <w:rsid w:val="00ED75C4"/>
    <w:rsid w:val="00EE1DAB"/>
    <w:rsid w:val="00EF42E9"/>
    <w:rsid w:val="00F05B76"/>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2</cp:revision>
  <cp:lastPrinted>2015-08-17T16:49:00Z</cp:lastPrinted>
  <dcterms:created xsi:type="dcterms:W3CDTF">2016-07-07T12:30:00Z</dcterms:created>
  <dcterms:modified xsi:type="dcterms:W3CDTF">2016-07-07T12:30:00Z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